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MINI-MANUAL — PROJETO E CONSTRUÇÃO DO PRODUTO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GUIA-CAP-003   ·   Versão 1.2   ·   10/01/2026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GUIA-CAP-003 — Mini-manual PCP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é.</w:t>
      </w:r>
      <w:r>
        <w:rPr>
          <w:rFonts w:ascii="Calibri" w:hAnsi="Calibri"/>
          <w:b w:val="0"/>
          <w:i w:val="0"/>
          <w:sz w:val="22"/>
        </w:rPr>
        <w:t xml:space="preserve"> O processo que projeta (design) e constrói a solução que atende aos requisitos. Cobre da decisão de design até a implementação fiel ao projetado.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ele garante.</w:t>
      </w:r>
      <w:r>
        <w:rPr>
          <w:rFonts w:ascii="Calibri" w:hAnsi="Calibri"/>
          <w:b w:val="0"/>
          <w:i w:val="0"/>
          <w:sz w:val="22"/>
        </w:rPr>
        <w:t xml:space="preserve"> Que (1) o design atende aos requisitos e é rastreável a eles, (2) houve análise de alternativas com decisão consciente de construir/comprar/reutilizar, (3) os critérios e a justificativa da decisão estão registrados, e (4) a implementação corresponde ao design e fica documentada para evolução/sustentação.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Por que fazer.</w:t>
      </w:r>
      <w:r>
        <w:rPr>
          <w:rFonts w:ascii="Calibri" w:hAnsi="Calibri"/>
          <w:b w:val="0"/>
          <w:i w:val="0"/>
          <w:sz w:val="22"/>
        </w:rPr>
        <w:t xml:space="preserve"> Construir sem design explícito leva a soluções que ninguém sabe por que existem e que ninguém consegue manter. Registrar alternativas e a justificativa da escolha evita refazer a mesma análise depois e protege contra "por que fizemos assim mesmo?".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Como usar no dia a dia.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Para cada solução relevante, registre o design, os requisitos que atende e as interfaces.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Antes de construir, considere alternativas e decida construir/comprar/reutilizar — com justificativa (seção 1.2). É obrigatório.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Avalie o design e trate os problemas antes de implementar (seção 2).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Implemente conforme o projetado e confirme a conformidade (seção 3).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Mantenha design, decisões e interfaces acessíveis a quem for evoluir/sustentar o produto.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Erro comum a evitar.</w:t>
      </w:r>
      <w:r>
        <w:rPr>
          <w:rFonts w:ascii="Calibri" w:hAnsi="Calibri"/>
          <w:b w:val="0"/>
          <w:i w:val="0"/>
          <w:sz w:val="22"/>
        </w:rPr>
        <w:t xml:space="preserve"> Pular a análise de alternativas "porque já sabíamos o que fazer". Mesmo quando a decisão é óbvia, registrar o porquê (e, se for o caso, registrar que alternativas não eram necessárias) é o que satisfaz o processo e protege o futuro.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10/12/2024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15/04/2025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Detalhamento da seção de Definição de Pronto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conforme PRO-PCP-001 v1.1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GUIA-CAP-003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