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MINI-MANUAL — GERÊNCIA DE CONFIGURAÇÃO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GUIA-CAP-005   ·   Versão 1.2   ·   15/02/2026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GUIA-CAP-005 — Mini-manual GCO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15/02/2026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é.</w:t>
      </w:r>
      <w:r>
        <w:rPr>
          <w:rFonts w:ascii="Calibri" w:hAnsi="Calibri"/>
          <w:b w:val="0"/>
          <w:i w:val="0"/>
          <w:sz w:val="22"/>
        </w:rPr>
        <w:t xml:space="preserve"> O processo que mantém a integridade dos produtos de trabalho (código, documentos, migrações) e os disponibiliza a todos os envolvidos. Responde "qual é a versão correta de cada coisa, o que mudou, e quando?".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ele garante.</w:t>
      </w:r>
      <w:r>
        <w:rPr>
          <w:rFonts w:ascii="Calibri" w:hAnsi="Calibri"/>
          <w:b w:val="0"/>
          <w:i w:val="0"/>
          <w:sz w:val="22"/>
        </w:rPr>
        <w:t xml:space="preserve"> Que (1) os itens de configuração estão identificados com ID único, tipo, descrição, situação e relações; (2) há um sistema de controle de versão e de mudanças; (3) baselines marcam pontos congelados (versões entregues); (4) o histórico de modificações é mantido e usado; e (5) auditorias verificam que tudo isso está íntegro.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Por que fazer.</w:t>
      </w:r>
      <w:r>
        <w:rPr>
          <w:rFonts w:ascii="Calibri" w:hAnsi="Calibri"/>
          <w:b w:val="0"/>
          <w:i w:val="0"/>
          <w:sz w:val="22"/>
        </w:rPr>
        <w:t xml:space="preserve"> Sem gerência de configuração, ninguém sabe qual é a versão verdadeira, mudanças se perdem ou se sobrepõem, e não dá para reproduzir o que foi entregue. As baselines permitem voltar a um ponto conhecido; as auditorias pegam itens fora de controle (ex.: um entregável sem baseline marcada).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Como usar no dia a dia.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Identifique os itens de configuração com todos os campos obrigatórios (seção 1).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Use o sistema de versionamento e o fluxo de controle de mudanças (seção 2).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Marque baselines a cada entrega relevante (seção 3).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Mantenha o histórico de modificações e use-o (seção 4).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Faça auditorias periódicas de configuração — elas verificam integridade de baselines, mudanças e do sistema (seção 5).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Erro comum a evitar.</w:t>
      </w:r>
      <w:r>
        <w:rPr>
          <w:rFonts w:ascii="Calibri" w:hAnsi="Calibri"/>
          <w:b w:val="0"/>
          <w:i w:val="0"/>
          <w:sz w:val="22"/>
        </w:rPr>
        <w:t xml:space="preserve"> Confiar que "o Git resolve tudo". O versionamento é a base, mas o processo pede um registro de IC com situação e relações, baselines explícitas e auditorias — itens que o histórico de commits sozinho não entrega de forma consolidada.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10/03/2025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após baixo desempenho no AVA-CAP-004: clarificação sobre baselines × releases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15/02/2026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da seção de auditoria de configuração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15/02/2026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15/02/2026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GUIA-CAP-005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