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MINI-MANUAL — AQUISIÇÃO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GUIA-CAP-012   ·   Versão 1.0   ·   15/01/2026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GUIA-CAP-012 — Mini-manual AQU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é.</w:t>
      </w:r>
      <w:r>
        <w:rPr>
          <w:rFonts w:ascii="Calibri" w:hAnsi="Calibri"/>
          <w:b w:val="0"/>
          <w:i w:val="0"/>
          <w:sz w:val="22"/>
        </w:rPr>
        <w:t xml:space="preserve"> O processo que governa a contratação de fornecedores e a aquisição de produtos ou serviços externos. Garante que o que é adquirido atende aos requisitos e que o fornecedor cumpre os compromissos acordados.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ele garante.</w:t>
      </w:r>
      <w:r>
        <w:rPr>
          <w:rFonts w:ascii="Calibri" w:hAnsi="Calibri"/>
          <w:b w:val="0"/>
          <w:i w:val="0"/>
          <w:sz w:val="22"/>
        </w:rPr>
        <w:t xml:space="preserve"> Que (1) há critérios definidos para selecionar fornecedores; (2) os requisitos e expectativas são acordados formalmente antes do início; (3) o desempenho do fornecedor é monitorado ao longo do engajamento; (4) os produtos ou serviços entregues são aceitos com base em critérios claros; (5) o encerramento é formal.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Por que fazer.</w:t>
      </w:r>
      <w:r>
        <w:rPr>
          <w:rFonts w:ascii="Calibri" w:hAnsi="Calibri"/>
          <w:b w:val="0"/>
          <w:i w:val="0"/>
          <w:sz w:val="22"/>
        </w:rPr>
        <w:t xml:space="preserve"> Aquisições sem processo formal criam ambiguidade nos dois lados: o fornecedor não sabe o que é exigido, e a Timeware não sabe como avaliar a entrega. O processo define os pontos de controle que protegem o resultado — dos requisitos ao aceite.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Como usar no dia a dia.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Identifique se o engajamento envolve aquisição de produto, serviço ou subcontratação (PRO-AQU-001 §1).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Defina os requisitos e critérios de aceite antes de contratar.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Selecione o fornecedor com base nos critérios definidos e registre a decisão.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Formalize o acordo (contrato, SOW, ordem de serviço) com escopo, prazo e critérios.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Monitore o desempenho ao longo do contrato e registre os aceites com base nos critérios definidos.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Erro comum a evitar.</w:t>
      </w:r>
      <w:r>
        <w:rPr>
          <w:rFonts w:ascii="Calibri" w:hAnsi="Calibri"/>
          <w:b w:val="0"/>
          <w:i w:val="0"/>
          <w:sz w:val="22"/>
        </w:rPr>
        <w:t xml:space="preserve"> Tratar contratos como formalidade jurídica e não como referência operacional. Os critérios de aceite do contrato são os mesmos que guiam o monitoramento durante a execução — se estiverem vagos no contrato, o monitoramento não tem base.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GUIA-CAP-012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