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TECH LEAD / ARQUITETO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MAT-CAP-016   ·   Versão 1.2   ·   15/02/2026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MAT-CAP-016 — Trilha Tech Lead / Arquiteto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15/02/2026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REQ, PCP, ITP, GDE, GCO (operação)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1 — entrada, abertura 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1. Originação → 2. Escritório de Projetos → 3. Abertura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4. Discovery + Requisitos  ← você entra aqui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2 — concepção e aprovação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5. Concepção [Trilha Projeto + Trilha Produto]  ← você lidera a trilha técnica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6. Planejamento e aprovação (baseline)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3 — construção e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7. Grooming → Planning → Dev + code review → QA (V&amp;V) → Homologação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Encerramento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 é a </w:t>
      </w:r>
      <w:r>
        <w:rPr>
          <w:rFonts w:ascii="Calibri" w:hAnsi="Calibri"/>
          <w:b/>
          <w:i w:val="0"/>
          <w:sz w:val="22"/>
        </w:rPr>
        <w:t>autoridade técnica do projeto</w:t>
      </w:r>
      <w:r>
        <w:rPr>
          <w:rFonts w:ascii="Calibri" w:hAnsi="Calibri"/>
          <w:b w:val="0"/>
          <w:i w:val="0"/>
          <w:sz w:val="22"/>
        </w:rPr>
        <w:t>. Conduz o discovery junto com o PO/PM, desenha a arquitetura e o design, decide questões técnicas relevantes, comanda a integração e opera a gerência de configuração no dia a dia. Você participa de cinco processos: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técnico — conduz discovery com PO/PM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Discovery → Requisitos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— desenha arquitetura/design, guia os Devs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Trilha técnica, Dev nas sprints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Co-conduz com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Homolog / staging / produção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 técnico — junto com GP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de arquitetura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 (operação)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Operação no dia a 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Transversal (todo o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REQ — Engenharia de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 de referência: </w:t>
      </w:r>
      <w:r>
        <w:rPr>
          <w:rFonts w:ascii="Calibri" w:hAnsi="Calibri"/>
          <w:b/>
          <w:i w:val="0"/>
          <w:sz w:val="22"/>
        </w:rPr>
        <w:t>PRO-REQ-001</w:t>
      </w:r>
      <w:r>
        <w:rPr>
          <w:rFonts w:ascii="Calibri" w:hAnsi="Calibri"/>
          <w:b w:val="0"/>
          <w:i w:val="0"/>
          <w:sz w:val="22"/>
        </w:rPr>
        <w:t xml:space="preserve">. Templates: </w:t>
      </w:r>
      <w:r>
        <w:rPr>
          <w:rFonts w:ascii="Calibri" w:hAnsi="Calibri"/>
          <w:b/>
          <w:i w:val="0"/>
          <w:sz w:val="22"/>
        </w:rPr>
        <w:t>TPL-REQ-001</w:t>
      </w:r>
      <w:r>
        <w:rPr>
          <w:rFonts w:ascii="Calibri" w:hAnsi="Calibri"/>
          <w:b w:val="0"/>
          <w:i w:val="0"/>
          <w:sz w:val="22"/>
        </w:rPr>
        <w:t xml:space="preserve"> (Documento de Requisitos), </w:t>
      </w:r>
      <w:r>
        <w:rPr>
          <w:rFonts w:ascii="Calibri" w:hAnsi="Calibri"/>
          <w:b/>
          <w:i w:val="0"/>
          <w:sz w:val="22"/>
        </w:rPr>
        <w:t>TPL-REQ-002</w:t>
      </w:r>
      <w:r>
        <w:rPr>
          <w:rFonts w:ascii="Calibri" w:hAnsi="Calibri"/>
          <w:b w:val="0"/>
          <w:i w:val="0"/>
          <w:sz w:val="22"/>
        </w:rPr>
        <w:t xml:space="preserve"> (Matriz de Rastreabilidade).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Projeto aberto (Termo de Abertura, do GP). Necessidades do cliente a levantar.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Conduz o discovery junto com o PO/PM: levanta e confirma o entendimento das necessidades. Especifica, prioriza e aloca os requisitos. Garante a rastreabilidade bidirecional (requisito ↔ design ↔ teste). Analisa se os requisitos são necessários e suficientes; valida com o cliente.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Documento de Requisitos → template </w:t>
      </w:r>
      <w:r>
        <w:rPr>
          <w:rFonts w:ascii="Calibri" w:hAnsi="Calibri"/>
          <w:b/>
          <w:i w:val="0"/>
          <w:sz w:val="22"/>
        </w:rPr>
        <w:t>TPL-REQ-001</w:t>
      </w:r>
      <w:r>
        <w:rPr>
          <w:rFonts w:ascii="Calibri" w:hAnsi="Calibri"/>
          <w:b w:val="0"/>
          <w:i w:val="0"/>
          <w:sz w:val="22"/>
        </w:rPr>
        <w:t xml:space="preserve">. Matriz de Rastreabilidade → template </w:t>
      </w:r>
      <w:r>
        <w:rPr>
          <w:rFonts w:ascii="Calibri" w:hAnsi="Calibri"/>
          <w:b/>
          <w:i w:val="0"/>
          <w:sz w:val="22"/>
        </w:rPr>
        <w:t>TPL-REQ-002</w:t>
      </w:r>
      <w:r>
        <w:rPr>
          <w:rFonts w:ascii="Calibri" w:hAnsi="Calibri"/>
          <w:b w:val="0"/>
          <w:i w:val="0"/>
          <w:sz w:val="22"/>
        </w:rPr>
        <w:t>. Registro de análise e de validação de requisitos.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(nó "Requisitos" do projeto).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REQ 1, 2, 4, 5, 6, 7 (o compromisso da equipe — REQ 3 — é registrado em ata pelo GP).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PCP — Projeto e Construção do Produto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 de referência: </w:t>
      </w:r>
      <w:r>
        <w:rPr>
          <w:rFonts w:ascii="Calibri" w:hAnsi="Calibri"/>
          <w:b/>
          <w:i w:val="0"/>
          <w:sz w:val="22"/>
        </w:rPr>
        <w:t>PRO-PCP-001</w:t>
      </w:r>
      <w:r>
        <w:rPr>
          <w:rFonts w:ascii="Calibri" w:hAnsi="Calibri"/>
          <w:b w:val="0"/>
          <w:i w:val="0"/>
          <w:sz w:val="22"/>
        </w:rPr>
        <w:t xml:space="preserve">. Template: </w:t>
      </w:r>
      <w:r>
        <w:rPr>
          <w:rFonts w:ascii="Calibri" w:hAnsi="Calibri"/>
          <w:b/>
          <w:i w:val="0"/>
          <w:sz w:val="22"/>
        </w:rPr>
        <w:t>TPL-PCP-001</w:t>
      </w:r>
      <w:r>
        <w:rPr>
          <w:rFonts w:ascii="Calibri" w:hAnsi="Calibri"/>
          <w:b w:val="0"/>
          <w:i w:val="0"/>
          <w:sz w:val="22"/>
        </w:rPr>
        <w:t xml:space="preserve"> (Documento de Design / Arquitetura).</w:t>
      </w:r>
    </w:p>
    <w:p>
      <w:pPr>
        <w:pStyle w:val="Heading2"/>
        <w:keepNext/>
        <w:keepLines/>
      </w:pPr>
      <w:r>
        <w:t>4.1 Design / Arquitetura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Documento de Requisitos aprovado.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Desenvolve o design da solução (arquitetura, modelo de dados, integrações), mantendo rastreabilidade com os requisitos. Conduz a revisão do design e trata os problemas encontrados.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Tailoring:</w:t>
      </w:r>
      <w:r>
        <w:rPr>
          <w:rFonts w:ascii="Calibri" w:hAnsi="Calibri"/>
          <w:b w:val="0"/>
          <w:i w:val="0"/>
          <w:color w:val="1A5276"/>
          <w:sz w:val="22"/>
        </w:rPr>
        <w:t xml:space="preserve"> se o projeto não tem front-end (só API/backend), a etapa de design UX/UI não se aplica — você mantém apenas o design técnico.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Documento de Design / Arquitetura → template </w:t>
      </w:r>
      <w:r>
        <w:rPr>
          <w:rFonts w:ascii="Calibri" w:hAnsi="Calibri"/>
          <w:b/>
          <w:i w:val="0"/>
          <w:sz w:val="22"/>
        </w:rPr>
        <w:t>TPL-PCP-001</w:t>
      </w:r>
      <w:r>
        <w:rPr>
          <w:rFonts w:ascii="Calibri" w:hAnsi="Calibri"/>
          <w:b w:val="0"/>
          <w:i w:val="0"/>
          <w:sz w:val="22"/>
        </w:rPr>
        <w:t>. Registro de revisão de design.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(nó "Design" do projeto).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PCP 1, 2.</w:t>
      </w:r>
    </w:p>
    <w:p>
      <w:pPr>
        <w:pStyle w:val="Heading2"/>
        <w:keepNext/>
        <w:keepLines/>
      </w:pPr>
      <w:r>
        <w:t>4.2 Construção (nas sprints)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Design aprovado.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Guia os Devs na implementação conforme o design. Garante que o produto implementado seja rastreável ao design e que a documentação técnica seja mantida.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Código + build + documentação técnica → Git / Azure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PCP 3.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ITP — Integração do Produto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 de referência: </w:t>
      </w:r>
      <w:r>
        <w:rPr>
          <w:rFonts w:ascii="Calibri" w:hAnsi="Calibri"/>
          <w:b/>
          <w:i w:val="0"/>
          <w:sz w:val="22"/>
        </w:rPr>
        <w:t>PRO-ITP-001</w:t>
      </w:r>
      <w:r>
        <w:rPr>
          <w:rFonts w:ascii="Calibri" w:hAnsi="Calibri"/>
          <w:b w:val="0"/>
          <w:i w:val="0"/>
          <w:sz w:val="22"/>
        </w:rPr>
        <w:t xml:space="preserve">. Template: </w:t>
      </w:r>
      <w:r>
        <w:rPr>
          <w:rFonts w:ascii="Calibri" w:hAnsi="Calibri"/>
          <w:b/>
          <w:i w:val="0"/>
          <w:sz w:val="22"/>
        </w:rPr>
        <w:t>TPL-ITP-001</w:t>
      </w:r>
      <w:r>
        <w:rPr>
          <w:rFonts w:ascii="Calibri" w:hAnsi="Calibri"/>
          <w:b w:val="0"/>
          <w:i w:val="0"/>
          <w:sz w:val="22"/>
        </w:rPr>
        <w:t xml:space="preserve"> (Estratégia de Integração). Você co-conduz com o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Componentes desenvolvidos, design e interfaces definidos.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Define a estratégia de integração e as interfaces. Avalia a prontidão dos componentes antes de integrar. Garante que os componentes sejam integrados conforme a estratégia e que o produto integrado seja testado. Acompanha a entrega do produto e do material de apoio.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Estratégia / Plano de Integração → template </w:t>
      </w:r>
      <w:r>
        <w:rPr>
          <w:rFonts w:ascii="Calibri" w:hAnsi="Calibri"/>
          <w:b/>
          <w:i w:val="0"/>
          <w:sz w:val="22"/>
        </w:rPr>
        <w:t>TPL-ITP-001</w:t>
      </w:r>
      <w:r>
        <w:rPr>
          <w:rFonts w:ascii="Calibri" w:hAnsi="Calibri"/>
          <w:b w:val="0"/>
          <w:i w:val="0"/>
          <w:sz w:val="22"/>
        </w:rPr>
        <w:t>. Definição do ambiente de integração → Azure DevOps. Registros de prontidão, integração, testes de integração e entrega.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Template/registros no Confluence; ambiente e integração no Azure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ITP 1 a 6.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Ambientes Timeware:</w:t>
      </w:r>
      <w:r>
        <w:rPr>
          <w:rFonts w:ascii="Calibri" w:hAnsi="Calibri"/>
          <w:b w:val="0"/>
          <w:i w:val="0"/>
          <w:color w:val="1A5276"/>
          <w:sz w:val="22"/>
        </w:rPr>
        <w:t xml:space="preserve"> Dev, QA, Homologação e Stage (réplica de produção para o cliente) → Produção. Stage não é obrigatório em todo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GDE — Gerência de Decisões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 de referência: </w:t>
      </w:r>
      <w:r>
        <w:rPr>
          <w:rFonts w:ascii="Calibri" w:hAnsi="Calibri"/>
          <w:b/>
          <w:i w:val="0"/>
          <w:sz w:val="22"/>
        </w:rPr>
        <w:t>PRO-GDE-001</w:t>
      </w:r>
      <w:r>
        <w:rPr>
          <w:rFonts w:ascii="Calibri" w:hAnsi="Calibri"/>
          <w:b w:val="0"/>
          <w:i w:val="0"/>
          <w:sz w:val="22"/>
        </w:rPr>
        <w:t xml:space="preserve">. Template: </w:t>
      </w:r>
      <w:r>
        <w:rPr>
          <w:rFonts w:ascii="Calibri" w:hAnsi="Calibri"/>
          <w:b/>
          <w:i w:val="0"/>
          <w:sz w:val="22"/>
        </w:rPr>
        <w:t>TPL-GDE-001</w:t>
      </w:r>
      <w:r>
        <w:rPr>
          <w:rFonts w:ascii="Calibri" w:hAnsi="Calibri"/>
          <w:b w:val="0"/>
          <w:i w:val="0"/>
          <w:sz w:val="22"/>
        </w:rPr>
        <w:t xml:space="preserve"> (Registro de Análise de Decisão — RAD). Você é o protagonista técnico, junto com o GP.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Uma decisão técnica que se enquadra nos </w:t>
      </w:r>
      <w:r>
        <w:rPr>
          <w:rFonts w:ascii="Calibri" w:hAnsi="Calibri"/>
          <w:b/>
          <w:i w:val="0"/>
          <w:sz w:val="22"/>
        </w:rPr>
        <w:t>gatilhos</w:t>
      </w:r>
      <w:r>
        <w:rPr>
          <w:rFonts w:ascii="Calibri" w:hAnsi="Calibri"/>
          <w:b w:val="0"/>
          <w:i w:val="0"/>
          <w:sz w:val="22"/>
        </w:rPr>
        <w:t xml:space="preserve"> de decisão formal (PRO-GDE-001 §3) — tipicamente escolha de arquitetura, tecnologia ou abordagem com impacto relevante.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Reconhece que a decisão exige análise formal (nem toda decisão exige). Estrutura: problema, alternativas, critérios, método de avaliação, decisão.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Registro de Análise de Decisão (RAD) → template </w:t>
      </w:r>
      <w:r>
        <w:rPr>
          <w:rFonts w:ascii="Calibri" w:hAnsi="Calibri"/>
          <w:b/>
          <w:i w:val="0"/>
          <w:sz w:val="22"/>
        </w:rPr>
        <w:t>TPL-GDE-001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(decisões do projeto).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GDE 1 a 6.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Toda decisão de arquitetura vira RAD? Não — só as que se enquadram nos gatilhos do PRO-GDE-001 §3.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GCO — Gerência de Configuração (operação)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 de referência: </w:t>
      </w:r>
      <w:r>
        <w:rPr>
          <w:rFonts w:ascii="Calibri" w:hAnsi="Calibri"/>
          <w:b/>
          <w:i w:val="0"/>
          <w:sz w:val="22"/>
        </w:rPr>
        <w:t>PLA-GCO-001</w:t>
      </w:r>
      <w:r>
        <w:rPr>
          <w:rFonts w:ascii="Calibri" w:hAnsi="Calibri"/>
          <w:b w:val="0"/>
          <w:i w:val="0"/>
          <w:sz w:val="22"/>
        </w:rPr>
        <w:t xml:space="preserve">. Convenção: </w:t>
      </w:r>
      <w:r>
        <w:rPr>
          <w:rFonts w:ascii="Calibri" w:hAnsi="Calibri"/>
          <w:b/>
          <w:i w:val="0"/>
          <w:sz w:val="22"/>
        </w:rPr>
        <w:t>CONV-ORG-001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Itens de configuração do projeto (código, artefatos) e a convenção de nomenclatura/versionamento.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Identifica e controla os itens de configuração conforme os níveis definidos. Estabelece baselines (tags/releases) e registra itens e modificações. Opera o controle de mudanças (junto com o Change Request do GP).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Baselines, tags/releases, registros de itens e modificações → Git / Azure DevOps.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GCO 2, 3, 4 (operação).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 gera dado que alimenta indicadores de </w:t>
      </w:r>
      <w:r>
        <w:rPr>
          <w:rFonts w:ascii="Calibri" w:hAnsi="Calibri"/>
          <w:b/>
          <w:i w:val="0"/>
          <w:sz w:val="22"/>
        </w:rPr>
        <w:t>qualidade</w:t>
      </w:r>
      <w:r>
        <w:rPr>
          <w:rFonts w:ascii="Calibri" w:hAnsi="Calibri"/>
          <w:b w:val="0"/>
          <w:i w:val="0"/>
          <w:sz w:val="22"/>
        </w:rPr>
        <w:t xml:space="preserve"> (PLA-MED-001). Você registra, não calcula — o Responsável de Medição consolida.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você/o time registra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Vira o indicador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identificados × esforço (via Jira)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Densidade de defeitos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Bugs reabertos / subtarefas de bug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Retrabalho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Doc. de Requisitos + Matriz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TPL-REQ-001 / 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/ Arquitetura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TPL-PCP-001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Construção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Código + doc. técnica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/ Azure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TPL-ITP-001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/ Azure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Decisão formal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TPL-GDE-001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Baselines + registros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(CONV-ORG-001)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 / Azure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da seção GDE e revisão da seção GCO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15/02/2026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das seções ITP e VV conforme revisões dos processos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MAT-CAP-016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