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ATA DE ACOMPANHAMENTO — Fase 4 — Tratamento de erros e validação</w:t>
      </w:r>
    </w:p>
    <w:p>
      <w:r>
        <w:t>ATA-AASPAP01-005   ·   Versão 1.0   ·   12/06/2026   ·   Timeware Brasil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ATA-AASPAP01-005</w:t>
            </w:r>
          </w:p>
        </w:tc>
      </w:tr>
      <w:tr>
        <w:tc>
          <w:tcPr>
            <w:tcW w:type="dxa" w:w="4320"/>
          </w:tcPr>
          <w:p>
            <w:r>
              <w:t>Projeto</w:t>
            </w:r>
          </w:p>
        </w:tc>
        <w:tc>
          <w:tcPr>
            <w:tcW w:type="dxa" w:w="4320"/>
          </w:tcPr>
          <w:p>
            <w:r>
              <w:t>AASP_AndamentosProcessuais — Refatoração da Solução de Captura de Andamentos</w:t>
            </w:r>
          </w:p>
        </w:tc>
      </w:tr>
      <w:tr>
        <w:tc>
          <w:tcPr>
            <w:tcW w:type="dxa" w:w="4320"/>
          </w:tcPr>
          <w:p>
            <w:r>
              <w:t>Cliente</w:t>
            </w:r>
          </w:p>
        </w:tc>
        <w:tc>
          <w:tcPr>
            <w:tcW w:type="dxa" w:w="4320"/>
          </w:tcPr>
          <w:p>
            <w:r>
              <w:t>AASP — Associação dos Advogados de São Paulo</w:t>
            </w:r>
          </w:p>
        </w:tc>
      </w:tr>
      <w:tr>
        <w:tc>
          <w:tcPr>
            <w:tcW w:type="dxa" w:w="4320"/>
          </w:tcPr>
          <w:p>
            <w:r>
              <w:t>Organização</w:t>
            </w:r>
          </w:p>
        </w:tc>
        <w:tc>
          <w:tcPr>
            <w:tcW w:type="dxa" w:w="4320"/>
          </w:tcPr>
          <w:p>
            <w:r>
              <w:t>Timeware Brasil Softwares e Serviços LTDA</w:t>
            </w:r>
          </w:p>
        </w:tc>
      </w:tr>
      <w:tr>
        <w:tc>
          <w:tcPr>
            <w:tcW w:type="dxa" w:w="4320"/>
          </w:tcPr>
          <w:p>
            <w:r>
              <w:t>Gerente de Projeto</w:t>
            </w:r>
          </w:p>
        </w:tc>
        <w:tc>
          <w:tcPr>
            <w:tcW w:type="dxa" w:w="4320"/>
          </w:tcPr>
          <w:p>
            <w:r>
              <w:t>Abraão Oliveira</w:t>
            </w:r>
          </w:p>
        </w:tc>
      </w:tr>
      <w:tr>
        <w:tc>
          <w:tcPr>
            <w:tcW w:type="dxa" w:w="4320"/>
          </w:tcPr>
          <w:p>
            <w:r>
              <w:t>Versão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12/06/2026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Reunião de acompanhamento de projeto (cadência por fase/marco)</w:t>
            </w:r>
          </w:p>
        </w:tc>
      </w:tr>
      <w:tr>
        <w:tc>
          <w:tcPr>
            <w:tcW w:type="dxa" w:w="4320"/>
          </w:tcPr>
          <w:p>
            <w:r>
              <w:t>Local / meio</w:t>
            </w:r>
          </w:p>
        </w:tc>
        <w:tc>
          <w:tcPr>
            <w:tcW w:type="dxa" w:w="4320"/>
          </w:tcPr>
          <w:p>
            <w:r>
              <w:t>Videoconferência</w:t>
            </w:r>
          </w:p>
        </w:tc>
      </w:tr>
      <w:tr>
        <w:tc>
          <w:tcPr>
            <w:tcW w:type="dxa" w:w="4320"/>
          </w:tcPr>
          <w:p>
            <w:r>
              <w:t>Responsável pela ata</w:t>
            </w:r>
          </w:p>
        </w:tc>
        <w:tc>
          <w:tcPr>
            <w:tcW w:type="dxa" w:w="4320"/>
          </w:tcPr>
          <w:p>
            <w:r>
              <w:t>Abraão Oliveira</w:t>
            </w:r>
          </w:p>
        </w:tc>
      </w:tr>
    </w:tbl>
    <w:p>
      <w:pPr>
        <w:pStyle w:val="Heading2"/>
      </w:pPr>
      <w:r>
        <w:t>1. Participantes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Nome</w:t>
            </w:r>
          </w:p>
        </w:tc>
        <w:tc>
          <w:tcPr>
            <w:tcW w:type="dxa" w:w="4320"/>
          </w:tcPr>
          <w:p>
            <w:r>
              <w:t>Papel</w:t>
            </w:r>
          </w:p>
        </w:tc>
      </w:tr>
      <w:tr>
        <w:tc>
          <w:tcPr>
            <w:tcW w:type="dxa" w:w="4320"/>
          </w:tcPr>
          <w:p>
            <w:r>
              <w:t>Abraão Oliveira</w:t>
            </w:r>
          </w:p>
        </w:tc>
        <w:tc>
          <w:tcPr>
            <w:tcW w:type="dxa" w:w="4320"/>
          </w:tcPr>
          <w:p>
            <w:r>
              <w:t>Gerente de Projeto</w:t>
            </w:r>
          </w:p>
        </w:tc>
      </w:tr>
      <w:tr>
        <w:tc>
          <w:tcPr>
            <w:tcW w:type="dxa" w:w="4320"/>
          </w:tcPr>
          <w:p>
            <w:r>
              <w:t>Cézar Hiraki Velázquez</w:t>
            </w:r>
          </w:p>
        </w:tc>
        <w:tc>
          <w:tcPr>
            <w:tcW w:type="dxa" w:w="4320"/>
          </w:tcPr>
          <w:p>
            <w:r>
              <w:t>Tech Lead / DevOps / Arquiteto</w:t>
            </w:r>
          </w:p>
        </w:tc>
      </w:tr>
      <w:tr>
        <w:tc>
          <w:tcPr>
            <w:tcW w:type="dxa" w:w="4320"/>
          </w:tcPr>
          <w:p>
            <w:r>
              <w:t>Raony Chagas</w:t>
            </w:r>
          </w:p>
        </w:tc>
        <w:tc>
          <w:tcPr>
            <w:tcW w:type="dxa" w:w="4320"/>
          </w:tcPr>
          <w:p>
            <w:r>
              <w:t>Desenvolvedor Sênior</w:t>
            </w:r>
          </w:p>
        </w:tc>
      </w:tr>
      <w:tr>
        <w:tc>
          <w:tcPr>
            <w:tcW w:type="dxa" w:w="4320"/>
          </w:tcPr>
          <w:p>
            <w:r>
              <w:t>Mateus Veloso</w:t>
            </w:r>
          </w:p>
        </w:tc>
        <w:tc>
          <w:tcPr>
            <w:tcW w:type="dxa" w:w="4320"/>
          </w:tcPr>
          <w:p>
            <w:r>
              <w:t>Desenvolvedor (Suporte)</w:t>
            </w:r>
          </w:p>
        </w:tc>
      </w:tr>
      <w:tr>
        <w:tc>
          <w:tcPr>
            <w:tcW w:type="dxa" w:w="4320"/>
          </w:tcPr>
          <w:p>
            <w:r>
              <w:t>Caroline Sousa</w:t>
            </w:r>
          </w:p>
        </w:tc>
        <w:tc>
          <w:tcPr>
            <w:tcW w:type="dxa" w:w="4320"/>
          </w:tcPr>
          <w:p>
            <w:r>
              <w:t>Analista de QA</w:t>
            </w:r>
          </w:p>
        </w:tc>
      </w:tr>
      <w:tr>
        <w:tc>
          <w:tcPr>
            <w:tcW w:type="dxa" w:w="4320"/>
          </w:tcPr>
          <w:p>
            <w:r>
              <w:t>Marcos Correa Fernandez Turnes</w:t>
            </w:r>
          </w:p>
        </w:tc>
        <w:tc>
          <w:tcPr>
            <w:tcW w:type="dxa" w:w="4320"/>
          </w:tcPr>
          <w:p>
            <w:r>
              <w:t>Sponsor / PO (AASP)</w:t>
            </w:r>
          </w:p>
        </w:tc>
      </w:tr>
    </w:tbl>
    <w:p>
      <w:pPr>
        <w:pStyle w:val="Heading2"/>
      </w:pPr>
      <w:r>
        <w:t>2. Pauta</w:t>
      </w:r>
    </w:p>
    <w:p>
      <w:r>
        <w:t>- Tratamento de erro e segredo por instância (CR-AASPAP01-002)</w:t>
        <w:br/>
        <w:t>- Resultado dos testes (CT-01 a CT-12)</w:t>
        <w:br/>
        <w:t>- Atraso de ~30 dias acordado</w:t>
      </w:r>
    </w:p>
    <w:p>
      <w:pPr>
        <w:pStyle w:val="Heading2"/>
      </w:pPr>
      <w:r>
        <w:t>3. Discussões e definições</w:t>
      </w:r>
    </w:p>
    <w:p>
      <w:r>
        <w:t>Concluída a Fase 4: campos Observacao e Segredo por instância, tratamento granular dos retornos das parceiras e priorização do RunUpdater (CR-AASPAP01-002). Os 12 cenários de teste (CT-01 a CT-12) foram 100% aprovados; BUG-02 a BUG-05 corrigidos antes da implantação (contenção 100%). O atraso de ~30 dias foi acordado com o cliente e absorvido, mantido o prazo final.</w:t>
      </w:r>
    </w:p>
    <w:p>
      <w:pPr>
        <w:pStyle w:val="Heading2"/>
      </w:pPr>
      <w:r>
        <w:t>4. Decisões e aceites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Decisão / aceite</w:t>
            </w:r>
          </w:p>
        </w:tc>
        <w:tc>
          <w:tcPr>
            <w:tcW w:type="dxa" w:w="2880"/>
          </w:tcPr>
          <w:p>
            <w:r>
              <w:t>Responsável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</w:tr>
      <w:tr>
        <w:tc>
          <w:tcPr>
            <w:tcW w:type="dxa" w:w="2880"/>
          </w:tcPr>
          <w:p>
            <w:r>
              <w:t>Aceite da Fase 4 (validação e tratamento de erros)</w:t>
            </w:r>
          </w:p>
        </w:tc>
        <w:tc>
          <w:tcPr>
            <w:tcW w:type="dxa" w:w="2880"/>
          </w:tcPr>
          <w:p>
            <w:r>
              <w:t>Marcos Correa Fernandez Turnes</w:t>
            </w:r>
          </w:p>
        </w:tc>
        <w:tc>
          <w:tcPr>
            <w:tcW w:type="dxa" w:w="2880"/>
          </w:tcPr>
          <w:p>
            <w:r>
              <w:t>12/06/2026</w:t>
            </w:r>
          </w:p>
        </w:tc>
      </w:tr>
      <w:tr>
        <w:tc>
          <w:tcPr>
            <w:tcW w:type="dxa" w:w="2880"/>
          </w:tcPr>
          <w:p>
            <w:r>
              <w:t>CR-AASPAP01-002 aprovado</w:t>
            </w:r>
          </w:p>
        </w:tc>
        <w:tc>
          <w:tcPr>
            <w:tcW w:type="dxa" w:w="2880"/>
          </w:tcPr>
          <w:p>
            <w:r>
              <w:t>Marcos Correa Fernandez Turnes</w:t>
            </w:r>
          </w:p>
        </w:tc>
        <w:tc>
          <w:tcPr>
            <w:tcW w:type="dxa" w:w="2880"/>
          </w:tcPr>
          <w:p>
            <w:r>
              <w:t>Mai/2026</w:t>
            </w:r>
          </w:p>
        </w:tc>
      </w:tr>
    </w:tbl>
    <w:p>
      <w:pPr>
        <w:pStyle w:val="Heading2"/>
      </w:pPr>
      <w:r>
        <w:t>5. Ações (follow-up)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Ação</w:t>
            </w:r>
          </w:p>
        </w:tc>
        <w:tc>
          <w:tcPr>
            <w:tcW w:type="dxa" w:w="2880"/>
          </w:tcPr>
          <w:p>
            <w:r>
              <w:t>Responsável</w:t>
            </w:r>
          </w:p>
        </w:tc>
        <w:tc>
          <w:tcPr>
            <w:tcW w:type="dxa" w:w="2880"/>
          </w:tcPr>
          <w:p>
            <w:r>
              <w:t>Prazo</w:t>
            </w:r>
          </w:p>
        </w:tc>
      </w:tr>
      <w:tr>
        <w:tc>
          <w:tcPr>
            <w:tcW w:type="dxa" w:w="2880"/>
          </w:tcPr>
          <w:p>
            <w:r>
              <w:t>Montar pacote de GMUD e iniciar a implantação em produção (Fase 5)</w:t>
            </w:r>
          </w:p>
        </w:tc>
        <w:tc>
          <w:tcPr>
            <w:tcW w:type="dxa" w:w="2880"/>
          </w:tcPr>
          <w:p>
            <w:r>
              <w:t>Cézar Hiraki Velázquez / Lucas Batista</w:t>
            </w:r>
          </w:p>
        </w:tc>
        <w:tc>
          <w:tcPr>
            <w:tcW w:type="dxa" w:w="2880"/>
          </w:tcPr>
          <w:p>
            <w:r>
              <w:t>Jun/2026</w:t>
            </w:r>
          </w:p>
        </w:tc>
      </w:tr>
    </w:tbl>
    <w:p>
      <w:pPr>
        <w:pStyle w:val="Heading2"/>
      </w:pPr>
      <w:r>
        <w:t>6. Próximos passos</w:t>
      </w:r>
    </w:p>
    <w:p>
      <w:r>
        <w:t>Fase 5 — Implantação (em andamento; encerramento previsto 30/06/2026).</w:t>
      </w:r>
    </w:p>
    <w:p>
      <w:pPr>
        <w:pStyle w:val="Heading2"/>
      </w:pPr>
      <w: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Versão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Autor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12/06/2026</w:t>
            </w:r>
          </w:p>
        </w:tc>
        <w:tc>
          <w:tcPr>
            <w:tcW w:type="dxa" w:w="2160"/>
          </w:tcPr>
          <w:p>
            <w:r>
              <w:t>Time de Melhoria Contínua</w:t>
            </w:r>
          </w:p>
        </w:tc>
        <w:tc>
          <w:tcPr>
            <w:tcW w:type="dxa" w:w="2160"/>
          </w:tcPr>
          <w:p>
            <w:r>
              <w:t>Ata de acompanhamento da Fase 4, consolidada a partir de MED-AASPAP01-001, CR-AASPAP01-002 e REL-VV-AASPAP01-001.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