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(RAD) — AASP_ANDAMENTOSPROCESSUAIS · MODELO DE HISTÓRICO DE MOVIMENTAÇÕES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(evidência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(com o time de desenvolvimento)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Definir como registrar o histórico de movimentações processuais por instância no novo modelo de captura, sem perda de dados e preservando a retrocompatibilidade com a solução legada </w:t>
      </w:r>
      <w:r>
        <w:rPr>
          <w:rFonts w:ascii="Courier New" w:hAnsi="Courier New"/>
          <w:b w:val="0"/>
          <w:i w:val="0"/>
          <w:color w:val="333333"/>
          <w:sz w:val="20"/>
        </w:rPr>
        <w:t>AndamentosProcessuais</w:t>
      </w:r>
      <w:r>
        <w:rPr>
          <w:rFonts w:ascii="Calibri" w:hAnsi="Calibri"/>
          <w:b w:val="0"/>
          <w:i w:val="0"/>
          <w:sz w:val="22"/>
        </w:rPr>
        <w:t xml:space="preserve"> (em produção há ~20 anos). Esta decisão (D04) é a de maior impacto sobre a integridade dos dados na refatoração.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 estrutural no modelo de persistência de uma solução legada em produção, com risco de regressão e de perda de histórico — atinge os gatilhos do PRO-GDE-001 (alto impacto sobre dado em produção e sobre a arquitetura de persistência).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Update no registro existente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o registro de movimentação ativo a cada nova captura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por inativação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Inativar o registro anterior e criar um novo a cada captura, preservando o histórico por instância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Preservação do histórico (integridade)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Retrocompatibilidade com o fluxo legado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por instância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(matriz de decisão)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Escala 1–3 por critério (3 = melhor atende). Pontuação ponderada pelo peso.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(update)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(inativação)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Preservação do histórico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Retrocompatibilidade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ponderado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Escolhida a </w:t>
      </w:r>
      <w:r>
        <w:rPr>
          <w:rFonts w:ascii="Calibri" w:hAnsi="Calibri"/>
          <w:b/>
          <w:i w:val="0"/>
          <w:sz w:val="22"/>
        </w:rPr>
        <w:t>Alternativa B — histórico por inativação de registro</w:t>
      </w:r>
      <w:r>
        <w:rPr>
          <w:rFonts w:ascii="Calibri" w:hAnsi="Calibri"/>
          <w:b w:val="0"/>
          <w:i w:val="0"/>
          <w:sz w:val="22"/>
        </w:rPr>
        <w:t xml:space="preserve">. A nova captura inativa o registro anterior em </w:t>
      </w:r>
      <w:r>
        <w:rPr>
          <w:rFonts w:ascii="Courier New" w:hAnsi="Courier New"/>
          <w:b w:val="0"/>
          <w:i w:val="0"/>
          <w:color w:val="333333"/>
          <w:sz w:val="20"/>
        </w:rPr>
        <w:t>ProcessoCapturaMovimentacaoStatus</w:t>
      </w:r>
      <w:r>
        <w:rPr>
          <w:rFonts w:ascii="Calibri" w:hAnsi="Calibri"/>
          <w:b w:val="0"/>
          <w:i w:val="0"/>
          <w:sz w:val="22"/>
        </w:rPr>
        <w:t xml:space="preserve"> e cria um novo, sem sobrescrever dados. Preserva integralmente o histórico por instância (RNF05), elimina o risco de perda de movimentações na transição (R-03) e mantém a rastreabilidade exigida (RNF02). O modelo apenas adiciona registros, nunca os altera destrutivamente.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Crescimento da tabela de movimentações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Aceito — volume controlado; registros inativos preservados para auditoria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 no fluxo EPROC em 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com testes de regressão por amostragem (CT-12) e refatoração cirúrgica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Premissas (para revisão futura)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fluxo de captura legado permanece operante durante toda a transição (RNF01).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 xml:space="preserve"> não sofre alteração estrutural; o webhook é parametrizado, não reescrito.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Anexo — Registro consolidado de decisões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Decisões formais registradas nos registros do projeto.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 / Problema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Primeiro entregável da solução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fluxo legado vs. webhook dedicado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webhook de indexação específico para EPROC/ESAJ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Viabilizar captura via engine nativo TJSP sem regressão no fluxo legado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Fev/2026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entrada do pipeline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fila por tribunal vs. fila única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Migrar o CapturaServer da fila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EprocTjsp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a fila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WorkerAndamentos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Unificar o pipeline e preparar para múltiplas fontes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com campos fixos do TJSP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webhook vs. parametrizar o existente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Parametrizar o webhook para suporte multi-fonte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Evitar duplicação de lógica e reduzir manutenção futura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Update no registro vs. inativação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por inativação de registro (não por update)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Preservar o histórico por instância sem perda de dados (RAD detalhado acima)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Onde tratar as APIs parceiras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worker vs. na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Verificação/desligamento das parceiras na camada da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permanece agnóstico; controladores já existem na API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Parceiras heterogêneas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 genérico vs. por parceira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Controladores específicos por parceira (Solucionário, Botmax)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Estruturas/endpoints diferentes; interface comum facilita novas parceiras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do segredo de justiça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 por processo vs. por instância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 processo pode estar em segredo em uma instância e não em outra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 do modelo de histórico de movimentações (D04) + registro consolidado das decisões D01–D07, a partir da Planilha de Gestão GEST-AASPAP01 e do Registro de Projeto REG-AASPAP01-001.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GDE-AASPAP01-001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