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ITP-AASPGOV01-001   ·   Versão 1.1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 (AASPGOV01)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SensrJiraSync.Core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Contratos, modelos de domínio e mapeadores. Sem dependências externas. Contém: AppSettings, DeveloperConfig, ProjectConfig, SensrModels, JiraModels, StatusMapper.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SensrJiraSync.Infrastructure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Implementação dos serviços de integração e helpers de transformação. Depende de Core. Contém: SensrService, JiraService, SyncService, HtmlHelper.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SensrJiraSync.App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 de entrada, composição de dependências via injeção de dependências (DI) e execução do fluxo principal. Depende de Core e Infrastructure. Contém: Program.cs, appsettings.json.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 / 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Sensr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SensrService ↔ API Sensr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REST — endpoint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login</w:t>
            </w:r>
            <w:r>
              <w:rPr>
                <w:rFonts w:ascii="Calibri" w:hAnsi="Calibri"/>
                <w:b w:val="0"/>
                <w:i w:val="0"/>
                <w:sz w:val="20"/>
              </w:rPr>
              <w:t>; autenticação JWT por desenvolvedor (D02); token utilizado nas chamadas subsequentes da sessão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de atividades Sensr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SensrService ↔ API Sensr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REST — endpoints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getactivitiesbyprojectstatus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getsingleactivity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subactivity</w:t>
            </w:r>
            <w:r>
              <w:rPr>
                <w:rFonts w:ascii="Calibri" w:hAnsi="Calibri"/>
                <w:b w:val="0"/>
                <w:i w:val="0"/>
                <w:sz w:val="20"/>
              </w:rPr>
              <w:t>; retorno em JSON com campos de texto em HTML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Criação e busca de issues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JiraService ↔ API Jira v3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REST — Basic Auth (e-mail + API Token); endpoints de criação de Epic, Task e Subtask; busca paginada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nextPageToken</w:t>
            </w:r>
            <w:r>
              <w:rPr>
                <w:rFonts w:ascii="Calibri" w:hAnsi="Calibri"/>
                <w:b w:val="0"/>
                <w:i w:val="0"/>
                <w:sz w:val="20"/>
              </w:rPr>
              <w:t>; conteúdo em ADF (Atlassian Document Format) (D04)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Transições de status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JiraService ↔ API Jira v3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REST — consulta prévia de transições disponíveis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GetTransitionsAsync</w:t>
            </w:r>
            <w:r>
              <w:rPr>
                <w:rFonts w:ascii="Calibri" w:hAnsi="Calibri"/>
                <w:b w:val="0"/>
                <w:i w:val="0"/>
                <w:sz w:val="20"/>
              </w:rPr>
              <w:t>; aplicação de transição por ID; mapeamento via StatusMapper (D06)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comentários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JiraService ↔ API Jira v3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REST — endpoint de comentários; conteúdo ADF gerado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BuildAdfDocument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partir do histórico HTML convertido via HtmlHelper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e execução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SensrJiraSync.App ↔ Azure Scheduler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Executável .NET 8 auto-contido; retorna exit code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0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sucesso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falha; stateless entre execuções (D07)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foi realizada de forma incremental, seguindo as quatro fases do projeto: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Fase 1 — Arquitetura (14/04–16/04/2026):</w:t>
      </w:r>
      <w:r>
        <w:rPr>
          <w:rFonts w:ascii="Calibri" w:hAnsi="Calibri"/>
          <w:b w:val="0"/>
          <w:i w:val="0"/>
          <w:sz w:val="22"/>
        </w:rPr>
        <w:t xml:space="preserve"> Definição da estrutura em três camadas (Core, Infrastructure, App) e dos contratos de interface entre os componentes. A separação garante que a lógica de domínio não depende das implementações de integração (D01).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Fase 2 — Mapeamento e Autenticação (17/04–23/04/2026):</w:t>
      </w:r>
      <w:r>
        <w:rPr>
          <w:rFonts w:ascii="Calibri" w:hAnsi="Calibri"/>
          <w:b w:val="0"/>
          <w:i w:val="0"/>
          <w:sz w:val="22"/>
        </w:rPr>
        <w:t xml:space="preserve"> Mapeamento completo dos endpoints das APIs Sensr e Jira v3. Definição da estratégia de autenticação JWT por desenvolvedor (D02), da identificação de cards por prefixo </w:t>
      </w:r>
      <w:r>
        <w:rPr>
          <w:rFonts w:ascii="Courier New" w:hAnsi="Courier New"/>
          <w:b w:val="0"/>
          <w:i w:val="0"/>
          <w:color w:val="333333"/>
          <w:sz w:val="20"/>
        </w:rPr>
        <w:t>#ID</w:t>
      </w:r>
      <w:r>
        <w:rPr>
          <w:rFonts w:ascii="Calibri" w:hAnsi="Calibri"/>
          <w:b w:val="0"/>
          <w:i w:val="0"/>
          <w:sz w:val="22"/>
        </w:rPr>
        <w:t xml:space="preserve"> no summary (D03) e do uso de ADF para campos de texto (D04). Decisões formalizadas em GDE-AASPGOV01-001.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Fase 3 — Desenvolvimento dos Serviços (24/04–20/05/2026):</w:t>
      </w:r>
      <w:r>
        <w:rPr>
          <w:rFonts w:ascii="Calibri" w:hAnsi="Calibri"/>
          <w:b w:val="0"/>
          <w:i w:val="0"/>
          <w:sz w:val="22"/>
        </w:rPr>
        <w:t xml:space="preserve"> Implementação incremental de SensrService, JiraService, SyncService, HtmlHelper e StatusMapper. Cada componente integrado ao conjunto após revisão de código (PR aprovado por mínimo 1 revisor) e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via GitFlow. A ordem de implementação seguiu as dependências: Core → Infrastructure → App.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Fase 4 — Homologação e Correções (21/05–02/06/2026):</w:t>
      </w:r>
      <w:r>
        <w:rPr>
          <w:rFonts w:ascii="Calibri" w:hAnsi="Calibri"/>
          <w:b w:val="0"/>
          <w:i w:val="0"/>
          <w:sz w:val="22"/>
        </w:rPr>
        <w:t xml:space="preserve"> Execução do fluxo integrado completo em ambiente real (APIs Sensr e Jira de produção do cliente em modo homologação). Identificação e correção de 5 defeitos (BUG-01 a BUG-05). Reexecução dos cenários de teste com 100% de aprovação. Implantação final no Azure Scheduler em 02/06/2026.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ambiente de integração e homologação utilizou os sistemas reais do cliente — não foi criado um ambiente simulado ou mock — garantindo que todos os cenários de teste foram validados contra as APIs de produção Sensr e Jira v3 do AASP. Esta abordagem cobriu os requisitos de integração testável em ambiente real (GAP ITP4 e ITP5).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 de ambiente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 e CI/CD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— repositório SensrJiraSync com GitFlow; pipeline de build para validação de PR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agendada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Scheduler — hospedagem do executável .NET 8 auto-contido no ambiente do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Sensr (homologação)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real do Sensr com dados e desenvolvedores do AASP configurados em appsettings.json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Jira v3 (homologação)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Instância Jira do cliente (projeto piloto designado pelo Sponsor para validação da migração)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Um componente ou conjunto de alterações deve atender a todos os critérios abaixo antes de ser integrado à branch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e considerado pronto para testes integrados (GAP ITP2):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Code review aprovado por no mínimo 1 membro da equipe além do autor antes do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>, conforme REV-AASPGOV01-001.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unitários da camada Infrastructure passando sem falhas no pipeline de build do Azure DevOps.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Tratamento de exceção por desenvolvedor implementado no </w:t>
      </w:r>
      <w:r>
        <w:rPr>
          <w:rFonts w:ascii="Courier New" w:hAnsi="Courier New"/>
          <w:b w:val="0"/>
          <w:i w:val="0"/>
          <w:color w:val="333333"/>
          <w:sz w:val="20"/>
        </w:rPr>
        <w:t>SyncService</w:t>
      </w:r>
      <w:r>
        <w:rPr>
          <w:rFonts w:ascii="Calibri" w:hAnsi="Calibri"/>
          <w:b w:val="0"/>
          <w:i w:val="0"/>
          <w:sz w:val="22"/>
        </w:rPr>
        <w:t>, garantindo que a falha de autenticação ou processamento de um desenvolvedor não interrompa o ciclo dos demais (RNF02 — resiliência).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Logs estruturados de operações ativos em todos os serviços modificados, permitindo rastreabilidade de execução (RNF03).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fluxo executados localmente ou em homologação com as APIs Sensr e Jira reais antes da solicitação de merge, cobrindo os cenários afetados pela alteração.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integrado completo — autenticação Sensr → captura de atividades → resolução de Epics no Jira → criação ou atualização de Tasks, Subtasks e comentários → sincronização de status — foi validado por 5 cenários de teste E2E (CT-01 a CT-05), todos executados em ambiente real de homologação contra as APIs Sensr e Jira v3 do AASP (GAP ITP3):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 path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inicial completa: projeto → Epic, atividade → Task, sub-atividade → Subtask, histórico → comentários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 path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Idempotência: reexecução sobre cards já migrados não gera duplicatas (verificação por prefixo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#ID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 path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status: status alterado no Sensr reflete no Jira via transição correta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 path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idêntico: execução não aplica transição desnecessária quando status já está em acordo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 path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Resiliência a HTML inválido: campo com estrutura HTML incomum é tratado pelo HtmlHelper sem interromper a execução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cenários foram aprovados após a correção dos defeitos BUG-01 a BUG-05 identificados durante a Fase 4. Resultados detalhados em VV-AASPGOV01-001 (plano de V&amp;V) e REL-VV-AASPGOV01-001 (relatório de resultados).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entrega em produção foi realizada via implantação manual no Azure Scheduler, com substituição do artefato anterior pelo executável publicado na baseline BL-PROD-001 (tag </w:t>
      </w:r>
      <w:r>
        <w:rPr>
          <w:rFonts w:ascii="Courier New" w:hAnsi="Courier New"/>
          <w:b w:val="0"/>
          <w:i w:val="0"/>
          <w:color w:val="333333"/>
          <w:sz w:val="20"/>
        </w:rPr>
        <w:t>v1.0.0</w:t>
      </w:r>
      <w:r>
        <w:rPr>
          <w:rFonts w:ascii="Calibri" w:hAnsi="Calibri"/>
          <w:b w:val="0"/>
          <w:i w:val="0"/>
          <w:sz w:val="22"/>
        </w:rPr>
        <w:t>) e verificação do agendamento após a implantação. O Sponsor Marcos Correa Fernandez Turnes emitiu o Termo de Aceite e Encerramento (TAE-AASPGOV01-001) em 02/06/2026 (GAP ITP6).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Material de apoio entregue junto ao artefato: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Executável .NET 8 auto-contido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Artefato publicado para o Azure Scheduler (IC-05, baseline BL-PROD-001)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do appsettings.json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Estrutura completa do arquivo de configuração, com campos obrigatórios por desenvolvedor, por projeto e credenciais de acesso às APIs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endpoints consumidos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Sensr (login, getactivitiesbyprojectstatus, getsingleactivity, subactivity) e Jira v3 (search, create, transitions, comments) com descrição de contrato e autenticação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Mapeamento de status documentado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Tabela de equivalência TODO/DOING/VALIDATION/STOPPED/DONE → To Do/In Progress/To Test/Blocked/Done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Instruções de troubleshooting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Exit codes (0 = sucesso, 1 = falha), interpretação de logs estruturados, cenários de erro comuns e ações corretivas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consolidada a partir do Registro de Projeto AASP_Automacao-Governanca v2.0.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Reconciliação: nome padronizado (AASP_Automacao-Governanca); sobrenomes (Henry Komatsu, Felipe Siqueira, Jonathan Alves).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ITP-AASPGOV01-001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