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LIÇÕES APRENDIDAS — AASP_AUTOMACAO-GOVERNANCA · SENSRJIRASYNC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LI-AASPGOV01-001   ·   Versão 1.1   ·   02/06/2026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LI-AASPGOV01-001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AASP_Automacao-Governanca — SensrJiraSync: Serviço de Sincronização de Atividades entre Sensr e Jira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(GPR 20) — evidência de projeto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Consolidar as lições aprendidas durante a execução do projeto AASP_Automacao-Governanca para alimentar a melhoria contínua dos processos organizacionais da Timeware. Esta seção atende ao requisito GPR 20 do MR-MPS-SW:2024 e ao item correspondente do relatório de gaps da avaliação ASR. As lições relevantes são incorporadas aos templates organizacionais (TPL-</w:t>
      </w:r>
      <w:r>
        <w:rPr>
          <w:rFonts w:ascii="Calibri" w:hAnsi="Calibri"/>
          <w:b w:val="0"/>
          <w:i/>
          <w:sz w:val="22"/>
        </w:rPr>
        <w:t>), aos processos (PRO-</w:t>
      </w:r>
      <w:r>
        <w:rPr>
          <w:rFonts w:ascii="Calibri" w:hAnsi="Calibri"/>
          <w:b w:val="0"/>
          <w:i w:val="0"/>
          <w:sz w:val="22"/>
        </w:rPr>
        <w:t>) e aos guias de adaptação (GUIA-*) conforme aplicável.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Lições por dimensão</w:t>
      </w:r>
    </w:p>
    <w:p>
      <w:pPr>
        <w:pStyle w:val="Heading2"/>
        <w:keepNext/>
        <w:keepLines/>
      </w:pPr>
      <w:r>
        <w:t>2.1 Validação prévia de contratos de API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Conteúdo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 que ocorreu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API Jira v3 exige obrigatoriamente o formato ADF (Atlassian Document Format) para campos de texto rico (descrição, comentários). Essa exigência não era óbvia na documentação inicial e só foi descoberta durante a Fase 2 (Mapeamento de APIs). O time precisou alocar tempo adicional na Sprint 0 para investigar o formato, resultando em +4 h de esforço além do estimado.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Impacto no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Desvio de +10% na Fase 2; necessidade de implementar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BuildAdfDocument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(não previsto inicialmente como componente separado).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Causa-raiz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oficial da Atlassian não destaca claramente a obrigatoriedade do ADF em texto rico; assumimos compatibilidade com texto plano por analogia com a API v2.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Lição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Em integrações com APIs maduras (Atlassian, Microsoft Graph, Google Workspace), realizar prova de conceito (PoC) específica para campos de texto rico durante o Discovery, </w:t>
            </w:r>
            <w:r>
              <w:rPr>
                <w:rFonts w:ascii="Calibri" w:hAnsi="Calibri"/>
                <w:b/>
                <w:i w:val="0"/>
                <w:sz w:val="20"/>
              </w:rPr>
              <w:t>antes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do mapeamento completo de endpoints.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Ação corretiva organizacional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AC-01 (registrada em MED-AASPGOV01-001 §6): estimativa para mapeamento de APIs Atlassian em projetos futuros recebe acréscimo de 30% sobre baseline; checklist de PoC de ADF incorporado ao GUIA-GPC-001 §X (adaptação para projetos de integração com Atlassian).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2.2 Identificação por prefixo no summary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Conteúdo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 que ocorreu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 decisão D03 (identificar cards migrados pelo prefixo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#ID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no summary do Jira) eliminou a necessidade de manter estado externo (banco de dados ou tabela de mapeamento) e simplificou drasticamente a lógica de idempotência (RNF-01).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Impacto no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Redução estimada de 2 SP no esforço de RNF-01 (idempotência); ausência de novos componentes de persistência; serviço completamente stateless (atende D07).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Lição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cenários de sincronização unidirecional entre sistemas sem campo customizado disponível no destino, considerar identificação por prefixo/marcador no campo de texto público (summary, título, name). Estratégia replicável em integrações similares.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Aplicabilidade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Recomendado como padrão arquitetural em projetos de migração/sincronização unidirecional — documentado como referência em PCP-AASPGOV01-001 §2.4.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2.3 Testes em ambiente real desde o início da Fase 4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Conteúdo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 que ocorreu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Os 5 defeitos identificados na Sprint 3 (BUG-01 a BUG-05) </w:t>
            </w:r>
            <w:r>
              <w:rPr>
                <w:rFonts w:ascii="Calibri" w:hAnsi="Calibri"/>
                <w:b/>
                <w:i w:val="0"/>
                <w:sz w:val="20"/>
              </w:rPr>
              <w:t>só apareceram em ambiente real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Sensr/Jira. Nenhum deles seria detectado por mocks ou ambientes simulados — todos dependiam de comportamento específico das APIs externas (HTML real do Sensr, transições disponíveis no workspace Jira, paginação real).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Impacto no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a tempo (correções na própria Sprint 3); zero defeitos escapados para produção; meta M6 atingida.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Causa-raiz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Comportamento crítico do serviço depende da compatibilidade real entre Sensr e Jira; mocks não capturam variações reais de payload, transições disponíveis e formato HTML.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Lição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Em projetos de integração entre sistemas maduros, </w:t>
            </w:r>
            <w:r>
              <w:rPr>
                <w:rFonts w:ascii="Calibri" w:hAnsi="Calibri"/>
                <w:b/>
                <w:i w:val="0"/>
                <w:sz w:val="20"/>
              </w:rPr>
              <w:t>homologação em ambiente real (workspace de teste) é mandatória desde o início da fase de validação</w:t>
            </w:r>
            <w:r>
              <w:rPr>
                <w:rFonts w:ascii="Calibri" w:hAnsi="Calibri"/>
                <w:b w:val="0"/>
                <w:i w:val="0"/>
                <w:sz w:val="20"/>
              </w:rPr>
              <w:t>. Não substituir por mocks/simuladores em hipótese alguma.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Ação corretiva organizacional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Registrada na ADAP-AASPGOV01-001 §1 (eixo "Ambiente de stage") como padrão para projetos de integração. Recomendar inclusão de orientação equivalente no GUIA-GPC-001 e no TPL-VV-001 §2 (Métodos e critérios).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2.4 Conversão HTML → texto plano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Conteúdo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 que ocorreu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 conversão de HTML do Sensr para texto plano foi inicialmente subestimada — assumida como "limpeza simples de tags". Na prática, exigiu o desenvolvimento de um HtmlHelper completo com dois métodos especializados: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ToPlainText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(para descrição)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ParseDescriptionHistory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(para histórico estruturado, com múltiplas entradas).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Impacto no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BUG-01 surgiu por envio direto de HTML ao Jira; correção exigiu desenvolvimento adicional na Sprint 3; +8h sobre estimativa da Fase 4.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Lição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Em projetos que migram conteúdo entre plataformas com formatos de texto diferentes (HTML, Markdown, ADF, Slack mrkdwn, Discord, etc.), tratar conversão de texto rico como </w:t>
            </w:r>
            <w:r>
              <w:rPr>
                <w:rFonts w:ascii="Calibri" w:hAnsi="Calibri"/>
                <w:b/>
                <w:i w:val="0"/>
                <w:sz w:val="20"/>
              </w:rPr>
              <w:t>item de design obrigatório no PCP</w:t>
            </w:r>
            <w:r>
              <w:rPr>
                <w:rFonts w:ascii="Calibri" w:hAnsi="Calibri"/>
                <w:b w:val="0"/>
                <w:i w:val="0"/>
                <w:sz w:val="20"/>
              </w:rPr>
              <w:t>, com prova de conceito específica para os tipos de conteúdo mais frequentes.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Ação corretiva organizacional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AC-02 (registrada em MED-AASPGOV01-001 §6): inclusão de cenário de teste obrigatório para tratamento de HTML/texto rico em TPL-VV-001 §6 (Cenários de teste) para projetos de migração de conteúdo.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2.5 Mapeamento case-insensitive de status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Conteúdo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 que ocorreu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BUG-03 surgiu de comparação case-sensitive entre status Sensr e status Jira. Por exemplo, status "In Progress" no Jira foi tratado como diferente de "in progress" retornado por uma API em outra chamada, causando transições desnecessárias e ruído nos logs.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Impacto no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 de pequena complexidade técnica, mas com impacto operacional (transições redundantes geram ruído em painéis Jira).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Lição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Padronizar uso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StringComparison.OrdinalIgnoreCase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para comparações de domínio cross-sistema (status, IDs textuais, nomes de entidades). Não confiar em case consistente entre sistemas independentes.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Aplicabilidade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Recomendado para inclusão no guia de boas práticas de integração da Timeware (apoio ao TPL-PCP-001 §2.3).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2.6 Modelagem retroativa em sprints para evidência ágil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Conteúdo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 que ocorreu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projeto foi executado em 4 fases waterfall (Arquitetura, Mapeamento, Desenvolvimento, Homologação) com gestão por horas, mas a evidência exigida pela avaliação MPS-SW Nível C demanda modelagem agile (sprints, story points, velocity). A solução foi modelar retroativamente o backlog em 4 sprints (~59 SP), documentar a adaptação em ADAP-AASPGOV01-001 e carregar tudo no Jira via CSV.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Impacto no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adicional de ~6h para conciliação retroativa fases ↔ sprints e geração do JIRA-AASPGOV01_Backlog-Import.csv; resultado: evidência ágil completa sem distorcer a realidade da execução.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Lição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 modelagem retroativa em sprints/SP é uma estratégia válida e auditável quando a execução real é por fases — desde que </w:t>
            </w:r>
            <w:r>
              <w:rPr>
                <w:rFonts w:ascii="Calibri" w:hAnsi="Calibri"/>
                <w:b/>
                <w:i w:val="0"/>
                <w:sz w:val="20"/>
              </w:rPr>
              <w:t>documentada explicitamente na ADAP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refletida na planilha de gestão e no Jira.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Aplicabilidade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Padrão herdado do projeto AASP_CNJ — confirmado como abordagem replicável para projetos Timeware de pequeno e médio porte executados sem Scrum formal.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2.7 Acúmulo de papéis em equipes enxutas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Conteúdo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 que ocorreu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acumulou os papéis de Tech Lead e Arquiteto durante todo o projeto (ADAP §1). Decisão adequada ao porte (~7 semanas, escopo bem delimitado, equipe de 6 pessoas) — não houve sobrecarga nem conflito de responsabilidades.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Lição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projetos de pequeno porte (≤ 300 h, ≤ 8 semanas), o acúmulo de papéis Tech Lead + Arquiteto é viável e recomendável quando o escopo é técnico-uniforme. Para projetos maiores ou multi-tecnologia, manter papéis separados.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Aplicabilidade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Reforça o critério atual do GUIA-GPC-001 sobre acúmulo de papéis em projetos de pequeno porte.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Oportunidades de melhoria para a organização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As lições acima geram as seguintes oportunidades de melhoria a serem avaliadas pelo Time de Melhoria Contínua: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Origem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Recomendação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Destino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OM-AASPGOV-01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Lição 2.1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Incluir checklist de PoC de campos de texto rico em integrações com APIs Atlassian no GUIA-GPC-001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GUIA-GPC-001 (próxima revisão)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OM-AASPGOV-02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Lição 2.3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Reforçar no TPL-VV-001 §2 a obrigatoriedade de homologação em ambiente real para projetos de integração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TPL-VV-001 v1.1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OM-AASPGOV-03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Lição 2.4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Adicionar cenário Gherkin de teste de tratamento de HTML/texto rico no TPL-VV-001 §6 para projetos de migração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TPL-VV-001 v1.1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OM-AASPGOV-04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Lição 2.5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Documentar boas práticas de comparação cross-sistema (case-insensitive, normalização) em apoio ao TPL-PCP-001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TPL-PCP-001 (próxima revisão)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OM-AASPGOV-05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Lição 2.6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Confirmar a modelagem retroativa em sprints como padrão da Timeware no GUIA-GPC-001 §X (Adaptação para projetos waterfall)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GUIA-GPC-001 (próxima revisão)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As oportunidades acima são encaminhadas ao Time de Melhoria Contínua via PLA-GPC-001 (Plano de Gestão e Melhoria de Processos).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Auditoria e validação independente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As lições aprendidas registradas neste documento serão verificadas pela auditoria de GQA (Caroline Sousa, GQA Independente) e referenciadas em GQA-AASPGOV01-001 como parte da verificação de aderência ao processo MPS-SW (GPR 20).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Lições aprendidas do projeto AASP_Automacao-Governanca consolidadas no encerramento (02/06/2026), com 7 lições e 5 oportunidades de melhoria organizacional.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Reconciliação: nome padronizado (AASP_Automacao-Governanca); sobrenomes (Henry Komatsu, Felipe Siqueira, Jonathan Alves).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02/06/2026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02/06/2026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LI-AASPGOV01-001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