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REL-VV-AASPGOV01-001   ·   Versão 1.3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 execução de testes do projeto AASP_Automacao-Governanca — SensrJiraSync, cobrindo todas as fases do projeto (Arquitetura, Mapeamento de APIs, Desenvolvimento e Homologação). O relatório evidencia os testes realizados por fase, os defeitos identificados e seus tratamentos, e o resultado da validação dos critérios de aceite CA01 a CA07, fornecendo rastreabilidade entre o design (PCP-AASPGOV01-001), os cenários de teste (VV-AASPGOV01-001) e o produto entregue.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 (14/04–16/04/2026)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da estrutura em 3 camadas (Core, Infrastructure, App) e dos contratos de interface pelo Tech Lead/Arquiteto Cezar Hiraki. Resultado registrado no PCP-AASPGOV01-001 §5.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de APIs (17/04–23/04/2026)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manual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endpoints Sensr (login, getactivitiesbyprojectstatus, getsingleactivity, subactivity) e Jira v3 (search, create, transitions, comments) via Postman. Confirmação de autenticação JWT e Basic Auth.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(24/04–20/05/2026)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Cobertura dos métodos críticos: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StatusMapper.MapSensrToJira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(5 mapeamentos),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SyncService.ExtractSensrId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(24/04–20/05/2026)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Pull Requests no Azure DevOps revisados por Cezar Hiraki (Tech Lead) e membros da equipe — cobertura de SensrService, JiraService, SyncService, HtmlHelper e StatusMapper. Registrado em REV-AASPGOV01-001.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(21/05–02/06/2026)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 completo de migração inicial (Sensr → Jira) e sincronização incremental de status, executados pelo QA Jonathan Alves em ambiente real do Sensr e workspace Jira de teste do AASP. Cenários CT-01 a CT-12.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(21/05–02/06/2026)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Reteste dos cenários afetados após a correção dos defeitos BUG-01 a BUG-05. 100% de aprovação confirmada antes da validação com o Sponsor.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identificada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dos campos de descrição do Sensr enviado diretamente ao Jira causando formatação inválida com tags visíveis ao usuário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métodos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(descrição principal)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(histórico); conteúdo convertido para texto plano antes da geração do ADF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Transições de status falhando silenciosamente quando o status-alvo não estava disponível no fluxo de trabalho do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prévia das transições disponíveis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GetTransitionsAsync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da aplicação; registro de aviso em log quando a transição desejada não é encontrada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Comparação de status com diferenciação de maiúsculas e minúsculas causando transições desnecessárias ou omissões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Correção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UpdateIssueIfNeededAsync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SyncService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com espaços e barras causando erro HTTP na criação de issues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JiraService, substituindo espaços e barras por underscore antes do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paginação na busca de issues por Epic, resultando em cards não encontrados em projetos com muitos itens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implementada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  <w:r>
              <w:rPr>
                <w:rFonts w:ascii="Calibri" w:hAnsi="Calibri"/>
                <w:b w:val="0"/>
                <w:i w:val="0"/>
                <w:sz w:val="20"/>
              </w:rPr>
              <w:t>, percorrendo todas as páginas de resultados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5 defeitos identificados durante a Fase 4 de Homologação, todos resolvidos antes da validação final com o Sponsor. </w:t>
      </w:r>
      <w:r>
        <w:rPr>
          <w:rFonts w:ascii="Calibri" w:hAnsi="Calibri"/>
          <w:b/>
          <w:i w:val="0"/>
          <w:sz w:val="22"/>
        </w:rPr>
        <w:t>Taxa de resolução: 100%.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que validaram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sem duplicatas — execuções repetidas não geram cards duplicados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da hierarquia — projeto→Epic, atividade→Task, sub-atividade→Subtask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conteúdo — descrição, labels e histórico migrados com HTML convertido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CT-05, CT-10, CT-11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status — status corresponde ao equivalente no Jira conforme StatusMapper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CT-07, CT-08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— status alterado no Sensr reflete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CT-03, CT-04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 — entradas do description_history como comentários individuais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— falha de um não interrompe os demais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CT-06, CT-12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7 critérios de aceite foram validados pelo QA (Jonathan Alves) em ambiente real de homologação, e confirmados pelo Sponsor Marcos Correa Fernandez Turnes na reunião de 29/05/2026 (ATA-AASPGOV01-003).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SensrJiraSync foi submetido a um ciclo completo de verificação e validação ao longo das quatro fases do projeto, abrangendo revisão de design, testes unitários, code review via Pull Request, testes de integração E2E em ambiente real e reteste de regressão após correção de defeitos. Os 5 defeitos identificados durante a Fase 4 foram todos resolvidos antes da validação final, resultando em 100% de aprovação nos 12 cenários de teste (CT-01 a CT-12) e na validação de todos os 7 critérios de aceite (CA01–CA07).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com o Sponsor em ambiente real, com verificação direta de migração de cards em projeto piloto do AASP, confirmou a fidelidade do produto em relação aos requisitos estabelecidos. O Termo de Aceite e Encerramento (TAE-AASPGOV01-001) foi emitido em 02/06/2026. Conforme ADAP-AASPGOV01-001, a estratégia de homologação em ambiente real — em substituição a mocks — mostrou-se adequada ao porte e à natureza de integração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 responsável pela execução dos testes de homologação: Jonathan Alves substituiu Caroline Sousa como QA.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