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REQUISITOS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REQ-AASPGOV01-001   ·   Versão 1.2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 (Discovery)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(Tech Lead) · Abraão Oliveira (GP)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e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AASP utilizava o Sensr como ferramenta de gerenciamento de projetos e atividades do time de desenvolvimento. Em função de requisitos operacionais e de governança, foi tomada a decisão de migrar para o Jira. Como a migração é gradual — e não substituição imediata — o time precisaria operar nas duas ferramentas simultaneamente durante um período de transição, com risco real de divergência entre os registros. O processo manual de migração de cards entre as plataformas representaria volume elevado de trabalho operacional e estaria sujeito a erros humanos: dados de descrição, status, subtarefas, responsáveis e histórico de alterações precisariam ser replicados com fidelidade para cada atividade de cada desenvolvedor em cada projeto.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objetivo do projeto é desenvolver um serviço automatizado capaz de realizar essa migração de forma confiável e de manter a sincronização entre as duas ferramentas enquanto a transição estiver em andamento. O serviço deverá criar no Jira todos os cards existentes no Sensr — preservando sua estrutura hierárquica — e atualizar automaticamente o status dos cards já migrados quando houver movimentação no Sensr.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 principal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(Sponsor — AASP)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Eliminar trabalho manual de migração; garantir consistência entre Sensr e Jira durante a transição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desenvolvimento da AASP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Continuar usando o Sensr normalmente sem precisar duplicar registros no Jira durante o período de migração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Gerência de projetos da AASP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 visibilidade atualizada no Jira (ferramenta-alvo) sem aguardar o término da migração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Serviço .NET 8 executado como Azure Scheduled Job que, a cada execução, autentica-se nas APIs do Sensr (por desenvolvedor) e do Jira, busca atividades pendentes de migração e cria no Jira a hierarquia correspondente (Epic → Task → Subtask). Para cards já migrados, verifica divergência de status e aplica a transição equivalente no Jira. </w:t>
      </w:r>
      <w:r>
        <w:rPr>
          <w:rFonts w:ascii="Calibri" w:hAnsi="Calibri"/>
          <w:b/>
          <w:i w:val="0"/>
          <w:sz w:val="22"/>
        </w:rPr>
        <w:t>O projeto não tem interface de usuário</w:t>
      </w:r>
      <w:r>
        <w:rPr>
          <w:rFonts w:ascii="Calibri" w:hAnsi="Calibri"/>
          <w:b w:val="0"/>
          <w:i w:val="0"/>
          <w:sz w:val="22"/>
        </w:rPr>
        <w:t xml:space="preserve"> — toda interação humana ocorre nas plataformas Sensr e Jira, fora do escopo do serviço. A aplicabilidade de design UX/UI é "não aplicável", conforme registrado em ADAP-AASPGOV01-001.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Requisitos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(história)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Critérios de aceite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serviço de sincronização, quero autenticar-me no Sensr por desenvolvedor utilizando credenciais individuais (token JWT) para obter a lista de atividades por projeto filtrada pelo usuário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realizada com credenciais por DeveloperConfig; token JWT válido obtido; lista de projetos do desenvolvedor recuperada com sucesso; falha de autenticação em um desenvolvedor não interrompe os demais (RNF-02)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serviço de migração, quero criar ou reutilizar um Epic no Jira por projeto do Sensr (identificado pelo nome) para preservar a hierarquia de projetos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 criado se inexistente; Epic existente reutilizado se já presente (sem duplicar); identificação por nome do projeto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Como serviço de migração, quero criar uma Task no Jira para cada atividade do Sensr ainda não migrada, com summary no formato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 Nome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preservando descrição, responsável, labels, data de início e status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Task criada com summary correto; campos descrição, responsável (mapeado pelo JiraAccountId), labels, data de início e status preservados; vínculo correto ao Epic do projeto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serviço de migração, quero criar uma Subtask no Jira para cada sub-atividade vinculada a uma atividade do Sensr, mantendo a hierarquia Task → Subtask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Subtask criada vinculada à Task pai correta; summary no formato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 Nome</w:t>
            </w:r>
            <w:r>
              <w:rPr>
                <w:rFonts w:ascii="Calibri" w:hAnsi="Calibri"/>
                <w:b w:val="0"/>
                <w:i w:val="0"/>
                <w:sz w:val="20"/>
              </w:rPr>
              <w:t>; descrição convertida de HTML para texto plano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Como serviço de sincronização, quero verificar se o status de uma atividade do Sensr já existente no Jira (identificada pelo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summary) mudou e aplicar a transição correspondente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divergente detectado pela comparação case-insensitive; transição aplicada via API Jira; sem transição aplicada quando os status estão equivalentes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serviço de migração, quero migrar o histórico de alterações da atividade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description_history</w:t>
            </w:r>
            <w:r>
              <w:rPr>
                <w:rFonts w:ascii="Calibri" w:hAnsi="Calibri"/>
                <w:b w:val="0"/>
                <w:i w:val="0"/>
                <w:sz w:val="20"/>
              </w:rPr>
              <w:t>) como comentários individuais na Task correspondente no 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Cada entrada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description_history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extraída via HtmlHelper; comentário individual adicionado à Task; ordem cronológica preservada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serviço de transformação, quero converter HTML da descrição e do histórico do Sensr para texto plano compatível com o formato ADF (Atlassian Document Format) do 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 convertido para texto legível via HtmlAgilityPack; resultado serializado em ADF via BuildAdfDocument; sem tags HTML visíveis no Jira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serviço de transformação, quero mapear os status do Sensr (TODO, DOING, VALIDATION, STOPPED, DONE) para os status equivalentes do Jira (To Do, In Progress, To Test, Blocked, Done)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StatusMapper retorna o status Jira correto para cada status Sensr; mapeamento completo dos 5 status; sem status órfão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serviço de transformação, quero sanitizar labels contendo espaços ou caracteres especiais antes da criação no Jira (substituindo espaços e barras por underscore)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SanitizeLabel converte espaços e barras em underscore; demais caracteres preservados; nenhum erro de criação por label inválido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Como administrador do serviço, quero configurar o serviço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appsettings.json</w:t>
            </w:r>
            <w:r>
              <w:rPr>
                <w:rFonts w:ascii="Calibri" w:hAnsi="Calibri"/>
                <w:b w:val="0"/>
                <w:i w:val="0"/>
                <w:sz w:val="20"/>
              </w:rPr>
              <w:t>, com suporte a múltiplos desenvolvedores (cada um com credenciais Sensr, ID de usuário Sensr, ID de conta Jira e lista de projetos)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via appsettings.json carregada via Microsoft.Extensions.Configuration; estrutura DeveloperConfig + ProjectConfig validada; suporte a N desenvolvedores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operador, quero que o serviço seja executável como processo isolado, compatível com agendamento via Azure Scheduler, retornando código de saída diferente de zero em caso de falha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Executável auto-contido .NET 8; exit code 0 em sucesso; exit code 1 em falha; compatível com Azure Scheduled Job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Requisitos não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não funcional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Idempotência: execuções repetidas não devem criar cards duplicados no 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Verificação de existência pelo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 antes de qualquer criação; zero duplicatas em testes de execução repetida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Confiabilidade: falhas na sincronização de um desenvolvedor ou projeto não devem interromper o processamento dos demais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exceção por DeveloperConfig no SyncService; continuidade comprovada em teste com credencial inválida (CT-06)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Rastreabilidade: todas as operações realizadas devem ser registradas em log estruturado, permitindo auditoria completa de cada execução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 estruturado via Microsoft.Extensions.Logging em todos os serviços; eventos relevantes registrados (login, criação, atualização, erro)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Manutenibilidade: solução organizada em camadas (Core, Infrastructure, App) para facilitar evolução sem impacto nas demais camadas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projetos .NET distintos com dependências unidirecionais (App → Infrastructure → Core); Core sem dependências externas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Segurança: credenciais armazenadas no arquivo de configuração, sem exposição em código-fonte ou logs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appsettings.json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mantido fora do repositório; nenhum token impresso em log; auditoria de configuração registrada em GCO-AASPGOV01-001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Compatibilidade: serviço compatível com .NET 8 e executável em ambiente Windows no Azure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TargetFramework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net8.0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todos os projetos; publicação self-contained validada no Azure Scheduled Job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Total:</w:t>
      </w:r>
      <w:r>
        <w:rPr>
          <w:rFonts w:ascii="Calibri" w:hAnsi="Calibri"/>
          <w:b w:val="0"/>
          <w:i w:val="0"/>
          <w:sz w:val="22"/>
        </w:rPr>
        <w:t xml:space="preserve"> 11 RF (32 SP) + 6 RNF (11 SP) + atividades técnicas (16 SP — mapeamento de endpoints/auth Jira na Sprint 0, correções Fase 4/Sprint 3) = </w:t>
      </w:r>
      <w:r>
        <w:rPr>
          <w:rFonts w:ascii="Calibri" w:hAnsi="Calibri"/>
          <w:b/>
          <w:i w:val="0"/>
          <w:sz w:val="22"/>
        </w:rPr>
        <w:t>~59 SP em 4 sprints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Restrições e premissas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Sincronização unidirecional (Sensr → Jira); atualizações no Jira não são propagadas ao Sensr.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Sincronização de status é a única atualização aplicada a cards já existentes no Jira (descrição, labels e demais campos são imutáveis após criação inicial).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API Jira v3 exige ADF para campos de texto rico; versões anteriores não são suportadas.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Identificação de cards migrados depende do prefixo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no summary; cards sem esse prefixo não são reconhecidos.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APIs do Sensr e do Jira permanecem disponíveis e com contratos de autenticação estáveis durante o período de operação.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workspace Jira da AASP inclui os status mapeados: To Do, In Progress, To Test, Blocked e Done.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Cada desenvolvedor possui credenciais válidas no Sensr e </w:t>
      </w:r>
      <w:r>
        <w:rPr>
          <w:rFonts w:ascii="Courier New" w:hAnsi="Courier New"/>
          <w:b w:val="0"/>
          <w:i w:val="0"/>
          <w:color w:val="333333"/>
          <w:sz w:val="20"/>
        </w:rPr>
        <w:t>JiraAccountId</w:t>
      </w:r>
      <w:r>
        <w:rPr>
          <w:rFonts w:ascii="Calibri" w:hAnsi="Calibri"/>
          <w:b w:val="0"/>
          <w:i w:val="0"/>
          <w:sz w:val="22"/>
        </w:rPr>
        <w:t xml:space="preserve"> válido no workspace configurado.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Validação dos requisitos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Requisito/conjunto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 de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a RF-11 + RNF-01 a RNF-06 (escopo completo)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Apresentação na reunião de Kickoff (14/04/2026) ao Sponsor da AASP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e aprovado (ATA-AASPGOV01-001)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mapeamento de APIs e autenticação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Alinhamento de Mapeamento de APIs (23/04/2026)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(ATA-AASPGOV01-002)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Critérios de aceite CA01–CA07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por amostragem em ambiente real Sensr/Jira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aprovados (ATA-AASPGOV01-003)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 dos requisitos entregues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Aceite Final com Sponsor da AASP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emitido (ATA-AASPGOV01-004 + TAE-AASPGOV01-001)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Confirmação de entendimento e compromisso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Confirmação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Sponsor (AASP)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Entendimento confirmado dos 11 RF + 6 RNF e do escopo macro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 (ATA-AASPGOV01-001)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(Timeware)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Compromisso assumido pela equipe Timeware com a entrega no prazo de 7 semanas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 (ATA-AASPGOV01-001)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DevOps / Arquiteto (Timeware)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Compromisso técnico com a arquitetura em 3 camadas e os critérios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 (ATA-AASPGOV01-001)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 consolidado a partir do Registro de Projeto AASP_Automacao-Governanca v2.0 (08/06/2026). Adicionada priorização, Story Points e Sprint para cada RF/RNF conforme modelagem agile retroativa (ADAP-AASPGOV01-001).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Papel de Cezar Hiraki atualizado para Tech Lead / DevOps / Arquiteto; Jonathan Alves (QA) corrigido de grafia anterior.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Reconciliação: nome padronizado (AASP_Automacao-Governanca); sobrenomes (Henry Komatsu, Felipe Siqueira, Jonathan Alves).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REQ-AASPGOV01-001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