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TERMO DE ENCERRAMENTO E ACEITE DO PROJETO — AASP_AUTOMACAO-GOVERNANCA · SENSRJIRASYNC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TAE-AASPGOV01-001   ·   Versão 1.1   ·   02/06/2026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TAE-AASPGOV01-001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AASP_Automacao-Governanca — SensrJiraSync: Serviço de Sincronização de Atividades entre Sensr e Jira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de encerramento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Resumo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projeto AASP_Automacao-Governanca entregou o serviço </w:t>
      </w:r>
      <w:r>
        <w:rPr>
          <w:rFonts w:ascii="Calibri" w:hAnsi="Calibri"/>
          <w:b/>
          <w:i w:val="0"/>
          <w:sz w:val="22"/>
        </w:rPr>
        <w:t>SensrJiraSync</w:t>
      </w:r>
      <w:r>
        <w:rPr>
          <w:rFonts w:ascii="Calibri" w:hAnsi="Calibri"/>
          <w:b w:val="0"/>
          <w:i w:val="0"/>
          <w:sz w:val="22"/>
        </w:rPr>
        <w:t>: uma solução .NET 8 executada como Azure Scheduled Job que realiza migração automatizada de cards do Sensr para o Jira e mantém a sincronização incremental de status entre as duas plataformas durante o período de transição da AASP. O escopo cobriu 11 requisitos funcionais (RF-01 a RF-11) e 6 requisitos não funcionais (RNF-01 a RNF-06), executados em 4 sprints de 2 semanas (~59 SP), entre 14/04/2026 e 02/06/2026.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solução elimina o trabalho manual de migração de cards entre as duas ferramentas e garante a consistência de status durante a transição gradual, preservando hierarquia (Projeto → Epic, Atividade → Task, Sub-atividade → Subtask), descrição, status, responsáveis, labels e histórico de alterações.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Entregas realizadas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Serviço SensrJiraSync executável (.NET 8 auto-contido)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Compatível com Azure Scheduled Job; exit code 0/1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Autenticação JWT por desenvolvedor no Sensr (RF-01)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Suporte a múltiplos desenvolvedores via DeveloperConfig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Migração de projetos como Epics (RF-02)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Reutilização de Epic existente quando aplicável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Migração de atividades como Tasks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#ID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no summary (RF-03)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Descrição, responsável, labels, datas e status preservados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Migração de sub-atividades como Subtasks (RF-04)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Vinculadas corretamente à Task pai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Sincronização incremental de status (RF-05)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Comparação case-insensitive; transição via API Jira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Migração de histórico como comentários (RF-06)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Cada entrada do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description_history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como comentário individual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Conversão HTML → ADF (RF-07)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HtmlAgilityPack + BuildAdfDocument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Mapeamento de status Sensr → Jira (RF-08)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StatusMapper cobre os 5 status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Sanitização de labels (RF-09)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Espaços e barras convertidos para underscore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Configuração via appsettings.json multi-desenvolvedor (RF-10)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Estrutura AppSettings + DeveloperConfig + ProjectConfig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Executável compatível com Azure Scheduler (RF-11)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Publicado no Azure em 02/06/2026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Idempotência via verificação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#ID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(RNF-01)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Zero duplicatas em testes de execução repetida (CT-02)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Resiliência por desenvolvedor (RNF-02)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Falha em 1 dev não interrompe os demais (CT-06)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Log estruturado de operações (RNF-03)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Microsoft.Extensions.Logging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em 3 camadas (RNF-04)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Core / Infrastructure / App (Decisão D01)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Segurança de credenciais (RNF-05)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appsettings.json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fora do repositório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Compatibilidade .NET 8 / Azure (RNF-06)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Publicação self-contained validada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 cenários de teste Gherkin (CT-01 a CT-12)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 happy + 3 sad; 100% aprovados após correção dos 5 bugs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técnica de entrega (appsettings, endpoints, troubleshooting)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Material de apoio entregue ao cliente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Escopo: planejado × realizado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escopo planejado no TAP-AASPGOV01-001 (Termo de Abertura, 14/04/2026) e formalizado no PLA-AASPGOV01-001 (baseline aprovada em 14/04/2026) foi </w:t>
      </w:r>
      <w:r>
        <w:rPr>
          <w:rFonts w:ascii="Calibri" w:hAnsi="Calibri"/>
          <w:b/>
          <w:i w:val="0"/>
          <w:sz w:val="22"/>
        </w:rPr>
        <w:t>integralmente entregue</w:t>
      </w:r>
      <w:r>
        <w:rPr>
          <w:rFonts w:ascii="Calibri" w:hAnsi="Calibri"/>
          <w:b w:val="0"/>
          <w:i w:val="0"/>
          <w:sz w:val="22"/>
        </w:rPr>
        <w:t>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Aspecto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Planejado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Realizado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Conformidade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Requisitos funcionais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Requisitos não funcionais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Critérios de aceite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CA01–CA07 (7)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CA01–CA07 (7)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verificados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Cenários de teste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~12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 (CT-01 a CT-12)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estimado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216 h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236 h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+9,3% (dentro da meta ≤ 10%)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Story Points (modelagem retroativa)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~59 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59 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Prazo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14/04 – 02/06/2026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14/04 – 02/06/2026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aderente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Change Requests aprovados durante a execução:</w:t>
      </w:r>
      <w:r>
        <w:rPr>
          <w:rFonts w:ascii="Calibri" w:hAnsi="Calibri"/>
          <w:b w:val="0"/>
          <w:i w:val="0"/>
          <w:sz w:val="22"/>
        </w:rPr>
        <w:t xml:space="preserve"> Nenhum — o escopo permaneceu estável desde o Kickoff até o encerramento.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Aceite do cliente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Cliente / responsável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 da ata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— aceite formal das entregas e autorização para go-live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ATA-AASPGOV01-004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Sponsor verificou pessoalmente, em demonstração ao vivo, a execução do serviço em projeto piloto, confirmando: (a) criação correta da hierarquia Epic/Task/Subtask no Jira; (b) idempotência em execução repetida; (c) sincronização de status quando alterado no Sensr; (d) fidelidade dos campos migrados.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Transição / sustentação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Período de suporte pós-go-live:</w:t>
      </w:r>
      <w:r>
        <w:rPr>
          <w:rFonts w:ascii="Calibri" w:hAnsi="Calibri"/>
          <w:b w:val="0"/>
          <w:i w:val="0"/>
          <w:sz w:val="22"/>
        </w:rPr>
        <w:t xml:space="preserve"> 10 dias úteis (02/06/2026 a 12/06/2026), conforme PLA-AASPGOV01-001 §8.3.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Definição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 pela sustentação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(Tech Lead) + Abraão Oliveira (GP)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Canal de atendimento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Teams (canal direto com Sponsor AASP) + e-mail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SLA — incidentes críticos (S1)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Resposta em 2 h; resolução em 24 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SLA — incidentes S2/S3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Resposta em 1 dia útil; resolução em 3 dias úteis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 ativo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Logs do Azure Scheduled Job; verificação manual amostral de duplicatas; latência das execuções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Critério de encerramento do suporte pós-go-live (PLA §8.4):</w:t>
      </w:r>
      <w:r>
        <w:rPr>
          <w:rFonts w:ascii="Calibri" w:hAnsi="Calibri"/>
          <w:b w:val="0"/>
          <w:i w:val="0"/>
          <w:sz w:val="22"/>
        </w:rPr>
        <w:t xml:space="preserve"> o período encerra quando os 10 dias úteis transcorrerem sem incidentes S1 abertos OU quando todos os incidentes do período estiverem resolvidos e aceitos pelo cliente. Incidentes pós-período passam para a fila de manutenção contratual ou são tratados como novo escopo via Change Request.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Lições aprendidas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Tema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 que ocorreu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Lição / recomendação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prévia de contratos de API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Jira v3 exigiu ADF (não documentado claramente como obrigatório no início); investigação adicional foi necessária na Sprint 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projetos futuros com APIs Atlassian, incluir prova de conceito de ADF no Discovery — antes da Fase 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Identificação por prefixo no summary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Decisão D03 (uso do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#ID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no summary) eliminou a necessidade de estado externo e simplificou drasticamente a lógica de idempotência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replicável em qualquer cenário de sincronização unidirecional entre sistemas sem campo customizado disponível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em ambiente real desde a Fase 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 5 bugs (BUG-01 a BUG-05) só apareceram em ambiente real Sensr/Jira; nenhum seria pego por mocks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Manter homologação contra APIs reais sempre que a compatibilidade for crítica — registrado na ADAP como padrão para projetos de integração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Conversão HTML → texto plano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Inicialmente subestimada; exigiu HtmlHelper completo com ParseDescriptionHistory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Incluir tratamento de HTML como item de design obrigatório (PCP) em projetos que migram conteúdo entre plataformas com formatos de texto diferentes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Mapeamento de status case-insensitive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BUG-03 surgiu de comparação case-sensitive — pequeno erro com impacto operacional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Padronizar uso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StringComparison.OrdinalIgnoreCase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para comparações de domínio cross-sistema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Detalhamento expandido das lições aprendidas em LI-AASPGOV01-001.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Registro de encerramento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Reunião de encerramento realizada 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 da ata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ATA-AASPGOV01-004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Encerramento e Aceite do projeto AASP_Automacao-Governanca emitido em 02/06/2026 com aceite formal do Sponsor (Marcos Correa Fernandez Turnes), consolidado a partir do Registro de Projeto AASP_Automacao-Governanca v2.0 (08/06/2026).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Reconciliação: nome padronizado (AASP_Automacao-Governanca); sobrenomes (Henry Komatsu, Felipe Siqueira, Jonathan Alves); contagem de cenários alinhada ao VV/REL-VV (9 happy + 3 sad).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02/06/2026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02/06/2026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TAE-AASPGOV01-001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