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GERÊNCIA DE CONFIGURAÇÃO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GCO-AASPCNJ01-001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 / Responsável GCO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 gerenciamento de configuração do projeto: itens de configuração (ICs), estratégia de controle de versão, baselines e gestão de mudanças. Conforme ADAP-AASPCNJ01-001, o papel de responsável por GCO foi acumulado pelo Gerente de Projeto (Abraão Oliveira), dada a maturidade do controle de versão via Azure DevOps e GitFlow.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Estratégia de gerência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Plataforma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(controle de versão e pipeline CI/CD)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Modelo de branching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GitFlow — feature/* e bugfix/* → develop; release → main; hotfix/* sobre a baseline de release publicada (homologação/produção)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Convenção de tags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Numeração sequencial de versão (ex.: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v240</w:t>
            </w:r>
            <w:r>
              <w:rPr>
                <w:rFonts w:ascii="Calibri" w:hAnsi="Calibri"/>
                <w:b w:val="0"/>
                <w:i w:val="0"/>
                <w:sz w:val="20"/>
              </w:rPr>
              <w:t>, referenciada nas atividades de GMUD)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de PR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Mínimo 1 revisor além do autor para merge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</w:t>
            </w: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segredos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Token Bearer da CNJ centralizado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  <w:r>
              <w:rPr>
                <w:rFonts w:ascii="Calibri" w:hAnsi="Calibri"/>
                <w:b w:val="0"/>
                <w:i w:val="0"/>
                <w:sz w:val="20"/>
              </w:rPr>
              <w:t>, sem exposição em logs (RNF-05)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Coleções Postman da API CNJ e scripts de banco versionados no Azure DevOps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Itens de configuração (ICs)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Repositório / Localização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WorkerAndamentos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CapturaServer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AndamentosProcessuais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de 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DDL / migrations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— pasta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/db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do repositório correspondente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 de implantação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Pacotes de publicação (GMUD)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Servidor de artefatos interno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API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Coleções Postman da API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— pasta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/docs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 de gestão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gestão (backlog, sprints, tarefas) — base para carga no 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GEST-AASPCNJ01_Planilha-de-Gestao-do-Projeto.xlsx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Baselines estabelecidas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BL-EPROC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publicação do fluxo EPROC/ESAJ (pós-Fase 3)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v230 (GMUD EPROC)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IC-02, IC-03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publicação do fluxo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v240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(referenciada nas atividades de GMUD)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IC-02, IC-03, IC-04</w:t>
            </w:r>
          </w:p>
        </w:tc>
      </w:tr>
      <w:tr>
        <w:tc>
          <w:tcPr>
            <w:tcW w:type="dxa" w:w="2225"/>
          </w:tcPr>
          <w:p>
            <w:r>
              <w:t>BL-HOTFIX</w:t>
            </w:r>
          </w:p>
        </w:tc>
        <w:tc>
          <w:tcPr>
            <w:tcW w:type="dxa" w:w="2225"/>
          </w:tcPr>
          <w:p>
            <w:r>
              <w:t>Correção de contenção em homologação (pré-go-live): nullabilidade no consumidor da fila</w:t>
            </w:r>
          </w:p>
        </w:tc>
        <w:tc>
          <w:tcPr>
            <w:tcW w:type="dxa" w:w="2225"/>
          </w:tcPr>
          <w:p>
            <w:r>
              <w:t>v241 (referenciada nas atividades de GMUD)</w:t>
            </w:r>
          </w:p>
        </w:tc>
        <w:tc>
          <w:tcPr>
            <w:tcW w:type="dxa" w:w="2225"/>
          </w:tcPr>
          <w:p>
            <w:r>
              <w:t>IC-01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 baseline de encerramento será registrada no fechamento do projeto (Onda 3).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Gestão de mudanças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Mudanças de escopo/arquitetura são formalizadas em reuniões de alinhamento registradas como atividades no ClickUp (participantes, data, decisões e impacto).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interrupção do desenvolvimento da captura de 2ª instância no EPROC (card 4462) foi acordada formalmente com o cliente, com retomada planejada — formalizada em CR-AASPCNJ01-001.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implantação em produção segue o rito de GMUD: montagem de pacote, validação em homologação e agendamento com a Infraestrutura.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Auditoria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ICs versionados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IC-01 a IC-04 nos repositórios; IC-06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/docs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publicação identificada por tag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v230, v240 e v241 referenciadas nas atividades de GMUD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Token/segredos não expostos em logs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Token Bearer centralizado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(RNF-05)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Merges revisados antes da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PR com no mínimo 1 revisor além do autor (ver REV-AASPCNJ01-001) (no Azure DevOps o merge exige aprovação de ≥1 revisor via branch policy)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 auditoria de configuração de encerramento será registrada no fechamento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Evidências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devops_cnj_branches.png</w:t>
      </w:r>
      <w:r>
        <w:rPr>
          <w:rFonts w:ascii="Calibri" w:hAnsi="Calibri"/>
          <w:b w:val="0"/>
          <w:i w:val="0"/>
          <w:sz w:val="22"/>
        </w:rPr>
        <w:t xml:space="preserve"> — GitFlow no Azure DevOps — branches do repositório WorkersAndamentos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devops_cnj_commits.png</w:t>
      </w:r>
      <w:r>
        <w:rPr>
          <w:rFonts w:ascii="Calibri" w:hAnsi="Calibri"/>
          <w:b w:val="0"/>
          <w:i w:val="0"/>
          <w:sz w:val="22"/>
        </w:rPr>
        <w:t xml:space="preserve"> — Histórico de commits (Azure DevOps)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devops_cnj_tags.png</w:t>
      </w:r>
      <w:r>
        <w:rPr>
          <w:rFonts w:ascii="Calibri" w:hAnsi="Calibri"/>
          <w:b w:val="0"/>
          <w:i w:val="0"/>
          <w:sz w:val="22"/>
        </w:rPr>
        <w:t xml:space="preserve"> — Tags de baseline (v230/v240/v241)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devops_cnj_estrutura.png</w:t>
      </w:r>
      <w:r>
        <w:rPr>
          <w:rFonts w:ascii="Calibri" w:hAnsi="Calibri"/>
          <w:b w:val="0"/>
          <w:i w:val="0"/>
          <w:sz w:val="22"/>
        </w:rPr>
        <w:t xml:space="preserve"> — Estrutura do repositório WorkersAndamentos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estrutura_WorkerAndamentos.png</w:t>
      </w:r>
      <w:r>
        <w:rPr>
          <w:rFonts w:ascii="Calibri" w:hAnsi="Calibri"/>
          <w:b w:val="0"/>
          <w:i w:val="0"/>
          <w:sz w:val="22"/>
        </w:rPr>
        <w:t xml:space="preserve"> — Estrutura da solução WorkersAndamentos.sln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gco-branches-gitflow.png</w:t>
      </w:r>
      <w:r>
        <w:rPr>
          <w:rFonts w:ascii="Calibri" w:hAnsi="Calibri"/>
          <w:b w:val="0"/>
          <w:i w:val="0"/>
          <w:sz w:val="22"/>
        </w:rPr>
        <w:t xml:space="preserve"> — Modelo de branching GitFlow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devops_cnj_pipeline_ci.png</w:t>
      </w:r>
      <w:r>
        <w:rPr>
          <w:rFonts w:ascii="Calibri" w:hAnsi="Calibri"/>
          <w:b w:val="0"/>
          <w:i w:val="0"/>
          <w:sz w:val="22"/>
        </w:rPr>
        <w:t xml:space="preserve"> — Pipeline CI — testes e cobertura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devops_cnj_pipeline_cicd.png</w:t>
      </w:r>
      <w:r>
        <w:rPr>
          <w:rFonts w:ascii="Calibri" w:hAnsi="Calibri"/>
          <w:b w:val="0"/>
          <w:i w:val="0"/>
          <w:sz w:val="22"/>
        </w:rPr>
        <w:t xml:space="preserve"> — Pipeline CI/CD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configuração consolidado a partir do Registro de Projeto AASP_CNJ v1.0 (08/06/2026).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t>Evidências (anexos)</w:t>
      </w:r>
    </w:p>
    <w:p>
      <w:r>
        <w:t>GitFlow no Azure DevOps — branches do repositório WorkersAndamentos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cnj_branch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Histórico de commits (Azure DevOps)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cnj_comm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Tags de baseline (v230/v240/v241)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cnj_ta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Estrutura do repositório WorkersAndamentos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cnj_estru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Estrutura da solução WorkersAndamentos.sln</w:t>
      </w:r>
    </w:p>
    <w:p>
      <w:r>
        <w:drawing>
          <wp:inline xmlns:a="http://schemas.openxmlformats.org/drawingml/2006/main" xmlns:pic="http://schemas.openxmlformats.org/drawingml/2006/picture">
            <wp:extent cx="5400000" cy="126918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tura_WorkerAndamen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91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Modelo de branching GitFlow</w:t>
      </w:r>
    </w:p>
    <w:p>
      <w:r>
        <w:drawing>
          <wp:inline xmlns:a="http://schemas.openxmlformats.org/drawingml/2006/main" xmlns:pic="http://schemas.openxmlformats.org/drawingml/2006/picture">
            <wp:extent cx="5400000" cy="24037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o-branches-git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Pipeline CI — testes e cobertura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cnj_pipeline_c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Pipeline CI/CD</w:t>
      </w:r>
    </w:p>
    <w:p>
      <w:r>
        <w:drawing>
          <wp:inline xmlns:a="http://schemas.openxmlformats.org/drawingml/2006/main" xmlns:pic="http://schemas.openxmlformats.org/drawingml/2006/picture">
            <wp:extent cx="5400000" cy="3278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cnj_pipeline_cic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GCO-AASPCNJ01-001</w:t>
    </w:r>
    <w:r>
      <w:tab/>
    </w:r>
    <w:r>
      <w:rPr>
        <w:rFonts w:ascii="Calibri" w:hAnsi="Calibri"/>
        <w:color w:val="555555"/>
        <w:sz w:val="18"/>
      </w:rPr>
      <w:t>Gerência de Configuração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