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controle / índice — apoio interno. Organiza a produção das evidências do projeto; não é, ele próprio, evidência auditável pela ASR.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os registros MPS-SW do projeto AASP01, o processo de origem e o status de cada um. Conforme cada artefato evolui,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19/05/2026 (Kickoff)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11/07/2026.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(15/06/2026):</w:t>
      </w:r>
      <w:r>
        <w:rPr>
          <w:rFonts w:ascii="Calibri" w:hAnsi="Calibri"/>
          <w:b w:val="0"/>
          <w:i w:val="0"/>
          <w:sz w:val="22"/>
        </w:rPr>
        <w:t xml:space="preserve"> em execução — Sprint 1 concluída e aceita (06/06/2026); Sprint 2 em andamento; Sprints 3 e 4 planejadas.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Nível de adaptação:</w:t>
      </w:r>
      <w:r>
        <w:rPr>
          <w:rFonts w:ascii="Calibri" w:hAnsi="Calibri"/>
          <w:b w:val="0"/>
          <w:i w:val="0"/>
          <w:sz w:val="22"/>
        </w:rPr>
        <w:t xml:space="preserve"> 2 — Padrão (ver ADAP-AASP01-001).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Abertura, Discovery/Requisitos, Concepção e Planejamento concluídas; Desenvolvimento em curso; Homologação e Encerramento previstos para a Sprint 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Registros do projeto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e no repositório · ⏳ previsto (encerramento).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/ GCO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e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 (19/05/2026)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— Sprint 1 (06/06/2026)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4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4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Aquisição (AQU):</w:t>
      </w:r>
      <w:r>
        <w:rPr>
          <w:rFonts w:ascii="Calibri" w:hAnsi="Calibri"/>
          <w:b w:val="0"/>
          <w:i w:val="0"/>
          <w:color w:val="1A5276"/>
          <w:sz w:val="22"/>
        </w:rPr>
        <w:t xml:space="preserve"> não aplicável — não houve subcontratação de desenvolvimento (equipe própria Timeware). Insumos de serviço (APIs e ambientes do cliente) são tratados em ITP-AASP01-001 e nos riscos do PLA-AASP01-001.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 e convertidos para Word (</w:t>
      </w:r>
      <w:r>
        <w:rPr>
          <w:rFonts w:ascii="Courier New" w:hAnsi="Courier New"/>
          <w:b w:val="0"/>
          <w:i w:val="0"/>
          <w:color w:val="333333"/>
          <w:sz w:val="20"/>
        </w:rPr>
        <w:t>.docx</w:t>
      </w:r>
      <w:r>
        <w:rPr>
          <w:rFonts w:ascii="Calibri" w:hAnsi="Calibri"/>
          <w:b w:val="0"/>
          <w:i w:val="0"/>
          <w:sz w:val="22"/>
        </w:rPr>
        <w:t xml:space="preserve">); planilha de gestão em </w:t>
      </w:r>
      <w:r>
        <w:rPr>
          <w:rFonts w:ascii="Courier New" w:hAnsi="Courier New"/>
          <w:b w:val="0"/>
          <w:i w:val="0"/>
          <w:color w:val="333333"/>
          <w:sz w:val="20"/>
        </w:rPr>
        <w:t>.xlsx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Nomes reais nos registros:</w:t>
      </w:r>
      <w:r>
        <w:rPr>
          <w:rFonts w:ascii="Calibri" w:hAnsi="Calibri"/>
          <w:b w:val="0"/>
          <w:i w:val="0"/>
          <w:sz w:val="22"/>
        </w:rPr>
        <w:t xml:space="preserve"> os registros de identificação e de capacidade (TAP, PLA, ATAs, GQA, CAP) nominam a equipe real, conforme a camada de capacidade do modelo.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 de registros do projeto AASP01 (Sprint 2 em andamento)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