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SUPERAPP FRUKI · PACOTE FINAL 24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ADAP-FRUKI01-002   ·   Versão 1.2   ·   13/06/2026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ADAP-FRUKI01-002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— Pacote Final 24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 UX/UI — aplicativo mobile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Três novos módulos com interface React Native; todas as features envolvem telas e experiência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 protótipos; cliente valida regras de negócio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Brenda Chrystie conduz design; Cecília Ribeiro e Alexsandro de Vargas Braga validam regras de cada módulo; APIs fornecidas por Jardel/Renan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— nível de documentação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Três módulos entregues em ~3 meses; equipe de 5 pessoas; continuidade do Pacote 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Abraão: GP + PO; Brenda: UX + analista de negócio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Mesma configuração do Pacote 1; equipe enxuta; viável dado o porte e familiaridade com 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Criticidade e regulação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Aplicativo comercial interno; sem regulação específica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módulo — entrega incremental mensal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Pedidos Não Alocados (out/2025) → Regra de Ouro (nov/2025) → PDV (dez/2025–jan/2026); entregas via PR no Azure DevOps e APK para testes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Adotado — Expo APK + branch feature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Builds de teste gerados via Expo antes de cada merge; revisão técnica do Jardel antes do merge na branch principal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Protótipos para cada módulo (Não Alocados, Regra de Ouro, PDV) criados por Brenda e validados por Cecília antes de cada sprint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REQ-FRUKI01-002 — 10 RF e 5 RNF, levantados nas reuniões de entendimento de demanda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funcionais via APK com cliente; verificação técnica via revisão de PR pelo Jardel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Aplicável — simplificada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Integração com APIs REST da Fruki via endpoints documentados; versionamento de branches no Azure DevOps. Ver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ITP-FRUKI01-002_Estrategia-de-Integracao-PacoteFinal24.md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rastreados aos módulos entregues e às PRs no Azure 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por pares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técnica das PRs pelo Jardel (Fruki) antes do merge; revisão interna pela equipe 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treinamento formal de usuários no escopo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decisões arquiteturais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Aplicável — simplificada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Decisão de renomeação "Caixa Preta" → "Regra de Ouro" registrada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GDE-FRUKI01-001_Registro-de-Decisao.md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Decisão 2; arquitetura React Native já estabelecida no Pacote 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Igual ao Pacote 1: squad próprio Timeware, sem subcontratação de terceiro respondendo por entrega. APIs/dados fornecidos pela Fruki são insumos do cliente, fora do escopo de AQU (PRO-AQU-001 §2).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Plano de Projeto aprovado pelo cliente (baseline)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Encerramento formal com aceite (Microsoft Teams — 15/01/2026)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retroativo (projeto executado out/2025–jan/2026)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ITP-FRUKI01-002 e GDE-FRUKI01-001 referenciados explicitamente na tabela de etapas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Registrada explicitamente a não aplicabilidade do processo de Aquisição (AQU) neste pacote, conforme PRO-AQU-001 §2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ADAP-FRUKI01-002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