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1.3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(Gustavo Mathias)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573 story points (total realizado; ver tabela §5.2)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19 sprints /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Distribuição por entregável: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399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(Gustavo, Renan)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2.660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(Cézar — a partir Sprint 8)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(João — a partir Sprint 13, 50%)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(Sprint 14)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 (Sprints 15–19, 40%)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5.789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Erick, Tiago,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Tiago,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Tiago,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Tiago, Marcelo, Erick,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(David Buena)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Tiago, Abraão, Renan,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Renan,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(decisões técnicas, PRs críticos)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8–19)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 14 — proposta infra)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Estratégia de promoção para produção: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ambientes:</w:t>
      </w:r>
      <w:r>
        <w:rPr>
          <w:rFonts w:ascii="Calibri" w:hAnsi="Calibri"/>
          <w:b w:val="0"/>
          <w:i w:val="0"/>
          <w:sz w:val="22"/>
        </w:rPr>
        <w:t xml:space="preserve"> desenvolvimento (local/feature branch) → homologação (Azure AKS — ambiente D1000) → produção (Azure AKS — produção Profarma)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GMUD obrigatória:</w:t>
      </w:r>
      <w:r>
        <w:rPr>
          <w:rFonts w:ascii="Calibri" w:hAnsi="Calibri"/>
          <w:b w:val="0"/>
          <w:i w:val="0"/>
          <w:sz w:val="22"/>
        </w:rPr>
        <w:t xml:space="preserve"> qualquer promoção ao ambiente de produção da Rede D1000 requer abertura formal de Gerenciamento de Mudança (GMUD) com janela de mudança definida, rollback plan documentado e aprovação do Gerente de TI D1000 (Humberto Erler)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Execução do deploy em produção:</w:t>
      </w:r>
      <w:r>
        <w:rPr>
          <w:rFonts w:ascii="Calibri" w:hAnsi="Calibri"/>
          <w:b w:val="0"/>
          <w:i w:val="0"/>
          <w:sz w:val="22"/>
        </w:rPr>
        <w:t xml:space="preserve"> responsabilidade de Fagner Pereira (Operações/Deploy — Rede D1000), após aprovação da GMUD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Suporte pós-deploy:</w:t>
      </w:r>
      <w:r>
        <w:rPr>
          <w:rFonts w:ascii="Calibri" w:hAnsi="Calibri"/>
          <w:b w:val="0"/>
          <w:i w:val="0"/>
          <w:sz w:val="22"/>
        </w:rPr>
        <w:t xml:space="preserve"> a Timeware mantém canais de suporte ao vivo (Teams) durante o período de estabilização do piloto para atendimento a incidentes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Evidência: GMUD 2624117 executada em 21/01/2026 — deploy da versão final no ambiente produtivo, após aprovação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2"/>
        <w:keepNext/>
        <w:keepLines/>
      </w:pPr>
      <w:r>
        <w:t>8.2 Checklist de go-live (pré-produção)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aceite Helena Moreira (e-mail, Sprints 1–17)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(PCP, API docs)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PCP-PROFARMA01-001 + Swagger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 executados sem falhas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Sprints 18–19, zero S1 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(Lucas Batista)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(tag/release)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Sim —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(Azure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aprovada pelo cliente (processo de mudança)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GMUD 2624117 aprovada por 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Azure Key Vault configurado; acessos AKS liberados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semanas a partir do deploy de 21/01/2026 (até 04/02/2026)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Microsoft Teams — canal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#d1000-suporte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2h; resolução em 24h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no período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em produção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canal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(loja 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 (meta: ≤ 200ms)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 /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99,5%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eventos perdidos no período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intensivo encerrou em 29/01/2026 com o aceite formal de Humberto Erler (ATA-PROFARMA01-002), após: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8 dias de operação no piloto (loja 9) sem incidentes S1;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canais (PDV, Balcão, OMNI) operando dentro do SLA;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Zero defeitos S1 ou S2 em aberto.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passou formalmente ao encerramento. Incidentes subsequentes são tratados via contrato de sustentação separado.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5.789 h totais estimadas; ampliação do §8 (GPR 8) com estratégia de transição para produção, fluxo de GMUD e responsáveis pelo 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§8.2 (checklist go-live), §8.3 (suporte pós-go-live com SLAs e indicadores Datadog) e §8.4 (critério de encerramento do suporte) — conformidade com TPL-GPR-001 v1.2 (GPR 8 / GPR 16)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