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RASTR-PROFARMA01-001   ·   Versão 1.1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(evidência de projeto — rastreabilidade)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rastreabilidade entre requisitos, componentes de implementação, casos de teste e status de entrega, garantindo que todos os requisitos funcionais e não funcionais foram implementados e verificados.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Rastreabilidade —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 (resumida)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Endpoint(s)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Casos de teste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novo cliente (CPF como PK)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/clientes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T-CAD-01, T-CAD-03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Rejeição de CPF duplicado (HTTP 409)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/clientes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por CPF (GET)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T-CAD-04, T-CAD-05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parcial (PATCH)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PATCH /clientes/{cpf}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lógica (LGPD)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 /clientes/{cpf}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T-CAD-07, T-CAD-08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por nome parcial com paginação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/clientes?nome=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de auditoria (criação, atualização, inativação)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/clientes/{cpf}/auditoria (interno)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auditoria 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(~7M CPFs) via worker batch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/clientes/lote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 + execução Sprint 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existência de CPF (HEAD)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HEAD /clientes/{cpf}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Reativação de cliente inativo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 /clientes/{cpf}/reativar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Outbox pattern para integração ITEC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interno + tabela outbox_eventos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T-ITEC-01 a T-ITEC-04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compatíveis com VTEX (OMNI)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/clientes/vtex; GET /clientes/vtex/{cpf}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T-VTEX-01 a T-VTEX-03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para Call Center (SLA 500ms)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/clientes/{cpf}/call-center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performance Call Center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Notificação Propz CRM via Service Bus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Azure Service Bus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integração Propz Sprint 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BlueSoft (endereço + score)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/clientes/{cpf}/perfil-completo (parcial)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integração BlueSoft Sprint 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CloseUp (histórico de compras)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/clientes/{cpf}/perfil-completo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integração CloseUp Sprint 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de expurgo LGPD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batch diário interno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worker LGPD Sprint 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Health check (/health)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/health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Métricas Prometheus (/metrics)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/metrics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Datadog Sprint 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RF: 19/19 (100%)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Rastreabilidade —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 (resumida)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de atendimento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.NET 8 / Clean Architecture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Azure DevOps — estrutura de camadas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 no Azure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for PostgreSQL Flexible Server provisionado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AKS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Manifests Kubernetes no repositório; deploy confirmado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hardcode de URLs/segredos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código: zero ocorrências de segredos em código; Azure Key Vault configurado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API Key + OAuth 2.0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Middlewares de autenticação implementados e testados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500 req/s no GET /clientes/{cpf}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T-PERF-01: 500 req/s sem erros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≤ 200ms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T-PERF-01: p95 = 142ms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Disponibilidade 99,5% mensal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Datadog: disponibilidade acima de 99,5% no piloto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Backup automático 7 dias + PITR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backup configurado (7 dias); PITR testado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LGPD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 (inativação), RF-17 (expurgo), campos de auditoria, dados mínimos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273 testes unitários; cobertura ≥ 80%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 testes unitários; cobertura: 84% Domain + Application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CI/CD com gates de qualidade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Azure DevOps configurada desde 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Datadog (APM, logs, alertas)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APM e alertas configurados; Sprint 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Mudanças arquiteturais aprovadas por Armando Junior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Evidências nos PRs do Azure DevOps com aprovação de Armando Junior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RNF: 14/14 (100%)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— Casos de teste por módulo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Total de cenários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Executados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Passaram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Taxa de sucesso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e gerenciamento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 Outbox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 carga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(273 cenários)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Outros (integração, segurança, LGPD)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~50 (estimado)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~50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~50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~100%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Rastreabilidade — Change Requests e impacto em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Change Request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de aprovação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Requisitos adicionados/alterados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de implementação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15/05/2025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 (auditoria detalhada com canal de origem)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 (HEAD endpoint para PDV)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retroativo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 (reativação de cliente)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 (BlueSoft), RF-16 (CloseUp) — novas integrações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8–9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RF-17 (worker LGPD)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6 retroativo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RNF-09 (backup + PITR) explicitado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 acelerado — deadline Propz 04/12/2025 confirmado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RF-19 (métricas Prometheus para Datadog)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 retroativo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contrato VTEX (novo schema CustomerProfile)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contrato BlueSoft (novo campo score_credito)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campo telefone_secundario em RF-01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SLA Call Center de 1000ms para 500ms (RNF-13 atualizado)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RF-01 a RF-10, RNF-01 a RNF-08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de encerramento — cobertura total dos requisitos, change requests e status de entrega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RASTR-PROFARMA01-001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