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Sim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back-end/refatoração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a refatoração de serviços de retaguarda (API e CapturaServer); não há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necessidades operacionais da captura; o cliente valida resultados e aceita as entregas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→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 estimadas, ~6,5 meses, ciclo compartilhado com o projeto irmão AASP_CNJ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Arquiteto e Gerência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Cezar Hiraki Velazquez concentra GP, Tech Lead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horas/cards no ClickUp; sem story points (gestão por fases)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no Azure DevOps, revisada por ≥1 membro além do autor (GitFlow)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qualidade do código e rastreabilidade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+ DDL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testes; ciclo coordenado entre os dois 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não usa histórias/SP; testes organizados por cenário (CT-01 a CT-12) e fase (ver VV-AASPAP01-001)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 e REL-VV-AASPAP01-001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(GitFlow + GMUD)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(decisões D01–D07)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APIs/infra de terceiros são insumos de serviço, tratados em ITP/PCP e Riscos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(REQ-AASPAP01-001)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(baseline REG-AASPAP01-001 v1.0, 08/06/2026)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(cenários de aceite CT-01 a CT-12, 100% aprovados — ver 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 / REL-VV)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Encerramento formal com aceite total — encerramento previsto 30/06/2026 (Fase 5 — implantação em andamento)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ponto em aberto refere-se ao marco de encerramento total e será registrado ao final do projeto (TAE-AASPAP01-001 e a ata de aceite), conforme o estágio atual. O aceite por fase já ocorreu (Fases 1–2: Mar/2026; Fases 3–4: Jun/2026).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Sim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