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ADAP-AASPAP01-001, o papel de responsável por GCO foi acumulado pelo Gerente de Projeto (Cezar Hiraki Velazquez),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banco (DDL) e contratos do webhook multi-fonte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Correção pós-implantação aplicada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(nullabilidade em CapturaLogin sob carga)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referenciadas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(v220/v230/v240/v241)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(v220/v230/v240/v241)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