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(execução, Fases 1–4)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/ 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Jonathan Barbosa (Garantia da Qualidade de Processo), fora da equipe de engenharia do projeto. A verificação foi conduzida em três marcos auditados em 08/06/2026: Fases 1–2 (10 itens), Fases 3–4 (11 itens) e consolidado do ciclo (21 itens), com 0 desvios e 100% de conformidade.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REQ-AASPAP01-001; ATAs de alinhamento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(D01–D07)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CR-AASPAP01-001; CR-AASPAP01-002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(PR ≥ 1 revisor além do autor)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(refatoração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(Fase 5 — implantação)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(REG v1.0, 08/06/2026)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RF + 5 RNF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 / REV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 pendente (Fase 5 em andamento)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automatizados / pipeline de CI limitada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Avaliar automação de testes em ciclos futuros (lição aprendida)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auditados em 08/06/2026: 21/21 itens conformes (100%); item GCO-3 (auditoria de encerramento) pendente por o projeto estar em execução.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ao encerramento e à automação de testes)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de configuração de encerramento; ampliar cobertura de testes automatizados / CI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Referência ao processo de origem: EST-GPC-001 (estratégia de Garantia da Qualidade de Processo).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 consolidado a partir do Registro de Projeto AASP_AndamentosProcessuais e do INTAKE-PROJETO_AASPAP01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GQA-AASPAP01-001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