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Azure DevOps (controle de versão e pipeline; repositório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>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 e scripts DDL versionados no Azure DevOps, validação em homologação e agendamento com a Infraestrutura. Tags de baseline: </w:t>
      </w:r>
      <w:r>
        <w:rPr>
          <w:rFonts w:ascii="Courier New" w:hAnsi="Courier New"/>
          <w:b w:val="0"/>
          <w:i w:val="0"/>
          <w:color w:val="333333"/>
          <w:sz w:val="20"/>
        </w:rPr>
        <w:t>v220</w:t>
      </w:r>
      <w:r>
        <w:rPr>
          <w:rFonts w:ascii="Calibri" w:hAnsi="Calibri"/>
          <w:b w:val="0"/>
          <w:i w:val="0"/>
          <w:sz w:val="22"/>
        </w:rPr>
        <w:t xml:space="preserve"> (legado / ponto de partida), </w:t>
      </w:r>
      <w:r>
        <w:rPr>
          <w:rFonts w:ascii="Courier New" w:hAnsi="Courier New"/>
          <w:b w:val="0"/>
          <w:i w:val="0"/>
          <w:color w:val="333333"/>
          <w:sz w:val="20"/>
        </w:rPr>
        <w:t>v230</w:t>
      </w:r>
      <w:r>
        <w:rPr>
          <w:rFonts w:ascii="Calibri" w:hAnsi="Calibri"/>
          <w:b w:val="0"/>
          <w:i w:val="0"/>
          <w:sz w:val="22"/>
        </w:rPr>
        <w:t xml:space="preserve"> (Fases 1–2), </w:t>
      </w:r>
      <w:r>
        <w:rPr>
          <w:rFonts w:ascii="Courier New" w:hAnsi="Courier New"/>
          <w:b w:val="0"/>
          <w:i w:val="0"/>
          <w:color w:val="333333"/>
          <w:sz w:val="20"/>
        </w:rPr>
        <w:t>v240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v241</w:t>
      </w:r>
      <w:r>
        <w:rPr>
          <w:rFonts w:ascii="Calibri" w:hAnsi="Calibri"/>
          <w:b w:val="0"/>
          <w:i w:val="0"/>
          <w:sz w:val="22"/>
        </w:rPr>
        <w:t xml:space="preserve"> (Fases 3–4). Escopo adicional formalizado em CR-AASPAP01-001 (homologação EPROC/ESAJ) e CR-AASPAP01-002 (campos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tratamentos de erro).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INTAKE-PROJETO_AASPAP01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