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top w:val="single" w:sz="32" w:space="0" w:color="003366"/>
        </w:pBdr>
        <w:spacing w:before="0" w:after="0"/>
      </w:pPr>
    </w:p>
    <w:p>
      <w:pPr>
        <w:spacing w:before="240" w:after="40"/>
      </w:pPr>
      <w:r>
        <w:rPr>
          <w:rFonts w:ascii="Calibri" w:hAnsi="Calibri"/>
          <w:b/>
          <w:color w:val="003366"/>
          <w:sz w:val="36"/>
        </w:rPr>
        <w:t>REGISTRO DE MEDIÇÃO — AASP_ANDAMENTOSPROCESSUAIS · REFATORAÇÃO DA SOLUÇÃO DE CAPTURA DE ANDAMENTOS</w:t>
      </w:r>
    </w:p>
    <w:p>
      <w:pPr>
        <w:spacing w:before="0" w:after="40"/>
      </w:pPr>
      <w:r>
        <w:rPr>
          <w:rFonts w:ascii="Calibri" w:hAnsi="Calibri"/>
          <w:color w:val="555555"/>
          <w:sz w:val="20"/>
        </w:rPr>
        <w:t>Indicador   ·   Versão Data   ·   11/06/2026   ·   Timeware Brasil</w:t>
      </w:r>
    </w:p>
    <w:p>
      <w:pPr>
        <w:pBdr>
          <w:bottom w:val="single" w:sz="6" w:space="1" w:color="003366"/>
        </w:pBdr>
        <w:spacing w:before="120" w:after="280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Campo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Valor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Documento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MED-AASPAP01-001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Projeto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AASP_AndamentosProcessuais — Refatoração da Solução de Captura de Andamentos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Cliente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AASP — Associação dos Advogados de São Paulo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Versão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1.0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11/06/2026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Gerente de Projeto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Cezar Hiraki Velazquez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Processo MPS-SW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MED (evidência de projeto)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1. Objetivo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 xml:space="preserve">Registrar as medidas coletadas ao longo do projeto, conforme o PLA-MED-001, para apoiar a análise de prazo, esforço, qualidade e rastreabilidade da refatoração da solução legada </w:t>
      </w:r>
      <w:r>
        <w:rPr>
          <w:rFonts w:ascii="Courier New" w:hAnsi="Courier New"/>
          <w:b w:val="0"/>
          <w:i w:val="0"/>
          <w:color w:val="333333"/>
          <w:sz w:val="20"/>
        </w:rPr>
        <w:t>AndamentosProcessuais</w:t>
      </w:r>
      <w:r>
        <w:rPr>
          <w:rFonts w:ascii="Calibri" w:hAnsi="Calibri"/>
          <w:b w:val="0"/>
          <w:i w:val="0"/>
          <w:sz w:val="22"/>
        </w:rPr>
        <w:t xml:space="preserve"> para o modelo DataJud/CNJ + </w:t>
      </w:r>
      <w:r>
        <w:rPr>
          <w:rFonts w:ascii="Courier New" w:hAnsi="Courier New"/>
          <w:b w:val="0"/>
          <w:i w:val="0"/>
          <w:color w:val="333333"/>
          <w:sz w:val="20"/>
        </w:rPr>
        <w:t>WorkerAndamentos</w:t>
      </w:r>
      <w:r>
        <w:rPr>
          <w:rFonts w:ascii="Calibri" w:hAnsi="Calibri"/>
          <w:b w:val="0"/>
          <w:i w:val="0"/>
          <w:sz w:val="22"/>
        </w:rPr>
        <w:t>. As medidas têm origem na Planilha de Gestão GEST-AASPAP01 (abas Medição, Acompanhamento e Change Requests) e no levantamento INTAKE-PROJETO_AASPAP01.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2. Indicadores do projeto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1780"/>
        <w:gridCol w:w="1780"/>
        <w:gridCol w:w="1780"/>
        <w:gridCol w:w="1780"/>
        <w:gridCol w:w="1780"/>
      </w:tblGrid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Código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Indicador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Meta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Resultado consolidado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Status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M1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Aderência ao cronograma (% entregas no prazo)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≥ 85%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~91% médio (Fases 1–2: 100%; Fases 3–4: ~85% por escopo acordado)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Atingida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M2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Desvio de esforço (%)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≤ 20%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+9,7% médio (Fases 1–2: +9%; Fases 3–4: +10%)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Atingida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M3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Defeitos identificados em homologação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—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5 (0 nas Fases 1–2; 5 nas Fases 3–4)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Contidos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M4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Defeitos escapados para produção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Atingida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M5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Taxa de contenção de defeitos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≥ 95%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100% (5/5 corrigidos antes da implantação)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Atingida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M6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Retrabalho (% do esforço)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≤ 5%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0%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Atingida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M7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% requisitos com rastreabilidade completa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100%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100% (RASTR-AASPAP01-001)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Atingida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M8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% conformidade GQA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100%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100% (21/21 itens conformes)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Atingida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M9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NCs de GQA abertas ao encerramento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Atingida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M10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Escopo realizado vs. planejado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100%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100% (12 RF + 5 RNF)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Atingida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M11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Rastreabilidade de status por instância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100%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100% dos processos com status por instância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Atingida</w:t>
            </w:r>
          </w:p>
        </w:tc>
      </w:tr>
    </w:tbl>
    <w:p>
      <w:pPr>
        <w:spacing w:before="0" w:after="160"/>
      </w:pPr>
    </w:p>
    <w:p>
      <w:pPr>
        <w:spacing w:before="40" w:after="120"/>
        <w:ind w:left="454"/>
        <w:pBdr>
          <w:left w:val="single" w:sz="12" w:space="8" w:color="003366"/>
        </w:pBdr>
      </w:pPr>
      <w:r>
        <w:rPr>
          <w:rFonts w:ascii="Calibri" w:hAnsi="Calibri"/>
          <w:b w:val="0"/>
          <w:i w:val="0"/>
          <w:color w:val="1A5276"/>
          <w:sz w:val="22"/>
        </w:rPr>
        <w:t>Nota: o projeto foi gerido por horas/fases no ClickUp, sem story points e sem velocity — por isso os indicadores M3/M4 do template CNJ (SP entregues e velocity) não se aplicam e foram substituídos pelos indicadores de qualidade e rastreabilidade efetivamente coletados.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3. Medidas de esforço (prazo/progresso)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1272"/>
        <w:gridCol w:w="1272"/>
        <w:gridCol w:w="1272"/>
        <w:gridCol w:w="1272"/>
        <w:gridCol w:w="1272"/>
        <w:gridCol w:w="1272"/>
        <w:gridCol w:w="1272"/>
      </w:tblGrid>
      <w:tr>
        <w:trPr>
          <w:cantSplit w:val="1"/>
        </w:trPr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Fase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Período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Esforço estimado (h)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Esforço realizado (h)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Desvio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Defeitos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Responsável principal</w:t>
            </w:r>
          </w:p>
        </w:tc>
      </w:tr>
      <w:tr>
        <w:trPr>
          <w:cantSplit w:val="1"/>
        </w:trPr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Fase 1 — Webhook e CapturaServer (EPROC)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Dez/2025–Fev/2026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44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48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+9%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Raony Chagas</w:t>
            </w:r>
          </w:p>
        </w:tc>
      </w:tr>
      <w:tr>
        <w:trPr>
          <w:cantSplit w:val="1"/>
        </w:trPr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Fase 2 — Estabilização e integração RabbitMQ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Fev/2026–Mar/2026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66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72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+9%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Raony Chagas / Cezar Hiraki Velazquez</w:t>
            </w:r>
          </w:p>
        </w:tc>
      </w:tr>
      <w:tr>
        <w:trPr>
          <w:cantSplit w:val="1"/>
        </w:trPr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Fase 3 — Refatoração para suporte ao CNJ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Abr/2026–Mai/2026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130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144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+11%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Raony Chagas / Mateus Veloso</w:t>
            </w:r>
          </w:p>
        </w:tc>
      </w:tr>
      <w:tr>
        <w:trPr>
          <w:cantSplit w:val="1"/>
        </w:trPr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Fase 4 — Tratamento de erros e validação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Mai/2026–Jun/2026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90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98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+9%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4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Raony Chagas / Caroline Sousa</w:t>
            </w:r>
          </w:p>
        </w:tc>
      </w:tr>
      <w:tr>
        <w:trPr>
          <w:cantSplit w:val="1"/>
        </w:trPr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Fase 5 — Implantação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Jun/2026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18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Em apuração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—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Cezar Hiraki Velazquez / Lucas Batista</w:t>
            </w:r>
          </w:p>
        </w:tc>
      </w:tr>
      <w:tr>
        <w:trPr>
          <w:cantSplit w:val="1"/>
        </w:trPr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Total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Dez/2025–Jun/2026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~348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~362 (parcial)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+9,7%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5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4. Indicadores funcionais da refatoração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967"/>
        <w:gridCol w:w="2967"/>
        <w:gridCol w:w="2967"/>
      </w:tblGrid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Indicador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Meta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Resultado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Webhook compatível com múltiplas fontes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100% das fontes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Operacional para CNJ, EPROC/ESAJ e APIs parceiras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Processos desligados nas parceiras após captura via CNJ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100% dos casos identificados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100%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Histórico de movimentações por instância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Sem perda de dados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100% preservado (modelo por inativação)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5. Análise de variâncias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967"/>
        <w:gridCol w:w="2967"/>
        <w:gridCol w:w="2967"/>
      </w:tblGrid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Variância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Magnitude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Causa-raiz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Atraso de ~30 dias na Fase 4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Média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Escopo adicional acordado (campos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Observacao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,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Segredo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,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CodigoFonteAPI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em múltiplas rotinas e tratamentos de erro) — ver CR-AASPAP01-002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Desvio de esforço de +9,7% no total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Baixa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Homologação EPROC/ESAJ mais extensa e devolutiva aos associados (CR-AASPAP01-001); estabilização além do previsto</w:t>
            </w:r>
          </w:p>
        </w:tc>
      </w:tr>
    </w:tbl>
    <w:p>
      <w:pPr>
        <w:spacing w:before="0" w:after="160"/>
      </w:pP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O atraso e o desvio são explicados por escopo adicional acordado com o cliente, absorvido pelo time sem custo extra, e não por desvio de produtividade. O deadline final (Jun/2026) foi mantido. As metas de prazo, esforço, qualidade e rastreabilidade foram atingidas, com 0 defeitos escapados para produção.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6. Comunicação dos resultados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Conforme PLA-MED-001 §7, os resultados foram comunicados nas reuniões de alinhamento e revisão (ver ATA-AASPAP01-001), nas auditorias de GQA (GQA-AASPAP01-001, 100% de conformidade) e na devolutiva aos associados sobre o resultado da solução EPROC/ESAJ em produção. A consolidação de encerramento será registrada no fechamento do projeto, após a conclusão da Fase 5.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Histórico de revisões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225"/>
        <w:gridCol w:w="2225"/>
        <w:gridCol w:w="2225"/>
        <w:gridCol w:w="2225"/>
      </w:tblGrid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Versão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Autor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Descrição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1.0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11/06/2026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 de Melhoria Contínua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Registro de medição consolidado a partir da Planilha de Gestão GEST-AASPAP01 (abas Medição, Acompanhamento e Change Requests) e do INTAKE-PROJETO_AASPAP01 v1.0 (14/06/2026).</w:t>
            </w:r>
          </w:p>
        </w:tc>
      </w:tr>
    </w:tbl>
    <w:p>
      <w:pPr>
        <w:spacing w:before="0" w:after="160"/>
      </w:pPr>
    </w:p>
    <w:sectPr w:rsidR="00FC693F" w:rsidRPr="0006063C" w:rsidSect="00034616">
      <w:headerReference w:type="default" r:id="rId9"/>
      <w:headerReference w:type="first" r:id="rId10"/>
      <w:footerReference w:type="default" r:id="rId11"/>
      <w:footerReference w:type="first" r:id="rId12"/>
      <w:pgSz w:w="11906" w:h="16838"/>
      <w:pgMar w:top="1587" w:right="1417" w:bottom="1417" w:left="1587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vData  ·  11/06/2026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vData  ·  11/06/2026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val="right" w:pos="8901"/>
      </w:tabs>
      <w:pBdr>
        <w:bottom w:val="single" w:sz="8" w:space="4" w:color="003366"/>
      </w:pBdr>
      <w:spacing w:before="0" w:after="80"/>
    </w:pPr>
    <w:r>
      <w:rPr>
        <w:rFonts w:ascii="Calibri" w:hAnsi="Calibri"/>
        <w:b/>
        <w:color w:val="003366"/>
        <w:sz w:val="18"/>
      </w:rPr>
      <w:t>TIMEWARE</w:t>
    </w:r>
    <w:r>
      <w:rPr>
        <w:rFonts w:ascii="Calibri" w:hAnsi="Calibri"/>
        <w:color w:val="555555"/>
        <w:sz w:val="18"/>
      </w:rPr>
      <w:t xml:space="preserve">   ·   Indicador</w:t>
    </w:r>
    <w:r>
      <w:tab/>
    </w:r>
    <w:r>
      <w:rPr>
        <w:rFonts w:ascii="Calibri" w:hAnsi="Calibri"/>
        <w:color w:val="555555"/>
        <w:sz w:val="18"/>
      </w:rPr>
      <w:t>Evidência de Projeto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Rule="auto" w:line="276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20"/>
      <w:outlineLvl w:val="0"/>
    </w:pPr>
    <w:rPr>
      <w:rFonts w:asciiTheme="majorHAnsi" w:eastAsiaTheme="majorEastAsia" w:hAnsiTheme="majorHAnsi" w:cstheme="majorBidi" w:ascii="Calibri" w:hAnsi="Calibri"/>
      <w:b/>
      <w:bCs/>
      <w:color w:val="003366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80"/>
      <w:outlineLvl w:val="1"/>
    </w:pPr>
    <w:rPr>
      <w:rFonts w:asciiTheme="majorHAnsi" w:eastAsiaTheme="majorEastAsia" w:hAnsiTheme="majorHAnsi" w:cstheme="majorBidi" w:ascii="Calibri" w:hAnsi="Calibri"/>
      <w:b/>
      <w:bCs/>
      <w:color w:val="1A5276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40"/>
      <w:outlineLvl w:val="2"/>
    </w:pPr>
    <w:rPr>
      <w:rFonts w:asciiTheme="majorHAnsi" w:eastAsiaTheme="majorEastAsia" w:hAnsiTheme="majorHAnsi" w:cstheme="majorBidi" w:ascii="Calibri" w:hAnsi="Calibri"/>
      <w:b/>
      <w:bCs/>
      <w:i/>
      <w:color w:val="1A5276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