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Sim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back-end/worker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um agente de captura e serviços de retaguarda;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problemas operacionais da captura; o cliente valida resultados e aceita as entregas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~586 h estimadas, ~9 meses, dois projetos correlatos (id 213 EPROC e id 256 CNJ)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acompanhada por horas/cards no ClickUp; backlog modelado retroativamente em sprints e story points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devolutivas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Acordada com a AASP; resultados comunicados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havia ambiente de Elasticsearch dedicado para testes; validação por repetição do mesmo processo na fila sem impacto no índice de produção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não usa histórias/SP; testes organizados por fluxo e fase (ver VV-AASPCNJ01-001)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e REL-VV-AASPCNJ01-001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(REQ-AASPCNJ01-001)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Plano de Projeto aprovado pelo cliente (baseline) — a registrar no encerramento (projeto em execução)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(critérios de aceite CA01–CA07,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— Onda 3 (encerramento previsto 30/06/2026)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dois pontos em aberto referem-se a marcos de encerramento e serão registrados ao final do projeto (TAE-AASPCNJ01-001 e a ata de aceite), conforme o estágio atual.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