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NUPs pendentes e os enfileira no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que consomem a fila, consultam as fontes e enviam resultados via webhook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interna que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com NUP (fila unificada)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REST, autenticação Bearer (token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TJSP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Puppeteer (navegador headless)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 (por ordem de prioridade)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EPROC/ESAJ (TJSP)</w:t>
      </w:r>
      <w:r>
        <w:rPr>
          <w:rFonts w:ascii="Calibri" w:hAnsi="Calibri"/>
          <w:b w:val="0"/>
          <w:i w:val="0"/>
          <w:sz w:val="22"/>
        </w:rPr>
        <w:t xml:space="preserve"> — primeira integração (Fase 2), cobrindo o tribunal de maior volume.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DataJud/CNJ</w:t>
      </w:r>
      <w:r>
        <w:rPr>
          <w:rFonts w:ascii="Calibri" w:hAnsi="Calibri"/>
          <w:b w:val="0"/>
          <w:i w:val="0"/>
          <w:sz w:val="22"/>
        </w:rPr>
        <w:t xml:space="preserve"> — fonte primária universal (Fase 4), com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fila unificada.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Fallback e desligamento de parceiras</w:t>
      </w:r>
      <w:r>
        <w:rPr>
          <w:rFonts w:ascii="Calibri" w:hAnsi="Calibri"/>
          <w:b w:val="0"/>
          <w:i w:val="0"/>
          <w:sz w:val="22"/>
        </w:rPr>
        <w:t xml:space="preserve"> — integração das parceiras como fallback final e rotina de desligamento de NUP após captura via CNJ.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Cada mensagem da fila contém o NUP e as informações para o worker determinar a fonte. Em retorno vazio/aguardando das parceiras, o worker publica um novo item ao final da fila para revisita posterior.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Azure DevOps (controle de versão e pipeline CI/CD); hospedagem dos workers e APIs internas em AWS; RabbitMQ como broker de mensagens.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(ver REV-AASPCNJ01-001).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(consulta → autenticação → recebimento do JSON → webhook → indexação) foi validado por testes de integração e de fluxo (E2E), incluindo cenários de sucesso, fallback e erro parcial por instância. Detalhes em VV-AASPCNJ01-001 e REL-VV-AASPCNJ01-001. Mecanismo de retry no envio ao webhook implementado na Fase 5 para aumentar a resiliência.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entrega em produção segue o rito de GMUD: montagem de pacote de publicação, validação em homologação e agendamento com a Infraestrutura. Material de apoio: coleções Postman da API CNJ e scripts de banco, versionados no Azure DevOps (pasta </w:t>
      </w:r>
      <w:r>
        <w:rPr>
          <w:rFonts w:ascii="Courier New" w:hAnsi="Courier New"/>
          <w:b w:val="0"/>
          <w:i w:val="0"/>
          <w:color w:val="333333"/>
          <w:sz w:val="20"/>
        </w:rPr>
        <w:t>/docs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/db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itp-rabbitmq-fila.png</w:t>
      </w:r>
      <w:r>
        <w:rPr>
          <w:rFonts w:ascii="Calibri" w:hAnsi="Calibri"/>
          <w:b w:val="0"/>
          <w:i w:val="0"/>
          <w:sz w:val="22"/>
        </w:rPr>
        <w:t xml:space="preserve"> — Fila RabbitMQ unificada (WorkerAndamentos)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itp-webhook-indexacao.png</w:t>
      </w:r>
      <w:r>
        <w:rPr>
          <w:rFonts w:ascii="Calibri" w:hAnsi="Calibri"/>
          <w:b w:val="0"/>
          <w:i w:val="0"/>
          <w:sz w:val="22"/>
        </w:rPr>
        <w:t xml:space="preserve"> — Webhook de indexação multi-fonte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swagger_ui_1.png</w:t>
      </w:r>
      <w:r>
        <w:rPr>
          <w:rFonts w:ascii="Calibri" w:hAnsi="Calibri"/>
          <w:b w:val="0"/>
          <w:i w:val="0"/>
          <w:sz w:val="22"/>
        </w:rPr>
        <w:t xml:space="preserve"> — Swagger da API — visão 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swagger_ui_2.png</w:t>
      </w:r>
      <w:r>
        <w:rPr>
          <w:rFonts w:ascii="Calibri" w:hAnsi="Calibri"/>
          <w:b w:val="0"/>
          <w:i w:val="0"/>
          <w:sz w:val="22"/>
        </w:rPr>
        <w:t xml:space="preserve"> — Swagger da API — visão 2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swagger_ui_3.png</w:t>
      </w:r>
      <w:r>
        <w:rPr>
          <w:rFonts w:ascii="Calibri" w:hAnsi="Calibri"/>
          <w:b w:val="0"/>
          <w:i w:val="0"/>
          <w:sz w:val="22"/>
        </w:rPr>
        <w:t xml:space="preserve"> — Swagger da API — visão 3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swagger_ui_4.png</w:t>
      </w:r>
      <w:r>
        <w:rPr>
          <w:rFonts w:ascii="Calibri" w:hAnsi="Calibri"/>
          <w:b w:val="0"/>
          <w:i w:val="0"/>
          <w:sz w:val="22"/>
        </w:rPr>
        <w:t xml:space="preserve"> — Swagger da API — visão 4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swagger_ui_full.png</w:t>
      </w:r>
      <w:r>
        <w:rPr>
          <w:rFonts w:ascii="Calibri" w:hAnsi="Calibri"/>
          <w:b w:val="0"/>
          <w:i w:val="0"/>
          <w:sz w:val="22"/>
        </w:rPr>
        <w:t xml:space="preserve"> — Swagger da API — completo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itp-postman-cnj.json</w:t>
      </w:r>
      <w:r>
        <w:rPr>
          <w:rFonts w:ascii="Calibri" w:hAnsi="Calibri"/>
          <w:b w:val="0"/>
          <w:i w:val="0"/>
          <w:sz w:val="22"/>
        </w:rPr>
        <w:t xml:space="preserve"> — Coleção Postman da API CNJ (anexo)</w:t>
      </w:r>
    </w:p>
    <w:p>
      <w:pPr>
        <w:pStyle w:val="Heading1"/>
      </w:pPr>
      <w:r>
        <w:t>Evidências (anexos)</w:t>
      </w:r>
    </w:p>
    <w:p>
      <w:r>
        <w:t>Fila RabbitMQ unificada (WorkerAndamentos)</w:t>
      </w:r>
    </w:p>
    <w:p>
      <w:r>
        <w:drawing>
          <wp:inline xmlns:a="http://schemas.openxmlformats.org/drawingml/2006/main" xmlns:pic="http://schemas.openxmlformats.org/drawingml/2006/picture">
            <wp:extent cx="5400000" cy="155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rabbitmq-fil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Webhook de indexação multi-fonte</w:t>
      </w:r>
    </w:p>
    <w:p>
      <w:r>
        <w:drawing>
          <wp:inline xmlns:a="http://schemas.openxmlformats.org/drawingml/2006/main" xmlns:pic="http://schemas.openxmlformats.org/drawingml/2006/picture">
            <wp:extent cx="5400000" cy="24722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webhook-indexa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1</w:t>
      </w:r>
    </w:p>
    <w:p>
      <w:r>
        <w:drawing>
          <wp:inline xmlns:a="http://schemas.openxmlformats.org/drawingml/2006/main" xmlns:pic="http://schemas.openxmlformats.org/drawingml/2006/picture">
            <wp:extent cx="5400000" cy="38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2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3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4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completo</w:t>
      </w:r>
    </w:p>
    <w:p>
      <w:r>
        <w:drawing>
          <wp:inline xmlns:a="http://schemas.openxmlformats.org/drawingml/2006/main" xmlns:pic="http://schemas.openxmlformats.org/drawingml/2006/picture">
            <wp:extent cx="5400000" cy="187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fu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Coleção Postman da API CNJ (anexo)</w:t>
      </w:r>
    </w:p>
    <w:p>
      <w:r>
        <w:t>[anexo não-imagem: itp-postman-cnj.json — ver pasta evidencias/]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ITP-AASPCNJ01-001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