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REGISTRO DE MEDIÇÃO — AASP_CNJ · WORKERANDAMENTOS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MED-AASPCNJ01-001   ·   Versão Data   ·   R$ 0,01 / processo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MED-AASPCNJ01-001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AASP_CNJ — WorkerAndamentos: Agente de Captura de Andamentos Processuais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 — Associação dos Advogados de São Paulo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Gerente de 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 MPS-SW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MED (evidência de projeto)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Objetivo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Registrar as medidas coletadas ao longo do projeto, conforme o PLA-MED-001, para apoiar a análise de custo, prazo, qualidade e estabilidade da operação de captura. As medidas abrangem os projetos correlatos id 213 (EPROC/ESAJ) e id 256 (CNJ).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Indicadores do projeto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Indicador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Redução de custo mensal de captura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R$ 12.500/mês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Economia estimada de ~R$ 15.000/mês após migração completa para a API CNJ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Economia anual projetada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≥ R$ 150.000/ano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~R$ 180.000/ano (base: volume atual de 550 mil instâncias)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de tribunais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Todos os cobertos pelo CNJ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Cobertura universal via DataJud para processos de consulta pública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Estabilidade da fila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Zero travamentos manuais/mês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Travamento corrigido na Fase 4; monitoramento ativo implantado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Aderência ao prazo de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Entrega até 02/05/2026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Desenvolvimento concluído em 01/06/2026 (atraso de ~30 dias por escopo adicional acordado)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Medidas de esforço (prazo/progresso)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Fase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estimado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Esforço realizado (h)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Responsável principal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1 — Análise e Arquitetura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60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~80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/ Cezar Hiraki Velazquez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2 — Desenvolvimento EPROC/ESAJ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120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~124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3 — Estabilização EPROC/ESAJ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~93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4 — Desenvolvimento CNJ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200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~195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Renan Kiyoshi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5 — Testes e Validação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~109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Caroline Sousa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Fase 6 — Implantação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46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Em apuração (~23 h)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Raony Chagas / Cezar Hiraki Velazquez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Total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586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~624 (parcial)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 xml:space="preserve">Para a gestão ágil e a futura carga no Jira, o esforço foi também modelado retroativamente em </w:t>
      </w:r>
      <w:r>
        <w:rPr>
          <w:rFonts w:ascii="Calibri" w:hAnsi="Calibri"/>
          <w:b/>
          <w:i w:val="0"/>
          <w:color w:val="1A5276"/>
          <w:sz w:val="22"/>
        </w:rPr>
        <w:t>155 SP</w:t>
      </w:r>
      <w:r>
        <w:rPr>
          <w:rFonts w:ascii="Calibri" w:hAnsi="Calibri"/>
          <w:b w:val="0"/>
          <w:i w:val="0"/>
          <w:color w:val="1A5276"/>
          <w:sz w:val="22"/>
        </w:rPr>
        <w:t xml:space="preserve"> distribuídos em </w:t>
      </w:r>
      <w:r>
        <w:rPr>
          <w:rFonts w:ascii="Calibri" w:hAnsi="Calibri"/>
          <w:b/>
          <w:i w:val="0"/>
          <w:color w:val="1A5276"/>
          <w:sz w:val="22"/>
        </w:rPr>
        <w:t>Discovery + 11 sprints</w:t>
      </w:r>
      <w:r>
        <w:rPr>
          <w:rFonts w:ascii="Calibri" w:hAnsi="Calibri"/>
          <w:b w:val="0"/>
          <w:i w:val="0"/>
          <w:color w:val="1A5276"/>
          <w:sz w:val="22"/>
        </w:rPr>
        <w:t xml:space="preserve"> (velocity média ~14 SP/sprint), conciliado com as horas reais — ver GEST-AASPCNJ01 (abas Backlog, Tarefas e Acompanhamento).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Resultado financeiro da migração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Modelo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Custo unitário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Volume (instâncias/mês)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Custo mensal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Solucionário (anterior)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R$ 0,03 / instância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550.000 instâncias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R$ 16.500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API DataJud/CNJ (novo)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R$ 0,01 / processo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~183.000 processos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R$ 1.830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Economia mensal projetada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R$ 14.670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Economia anual projetada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R$ 176.040</w:t>
            </w:r>
          </w:p>
        </w:tc>
      </w:tr>
    </w:tbl>
    <w:p>
      <w:pPr>
        <w:spacing w:before="0" w:after="160"/>
      </w:pP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Nota: a diferença entre os ~R$ 180.000 citados nos alinhamentos e o valor calculado decorre do modelo de cobrança — a Solucionário cobra por instância (uma por grau), enquanto a CNJ cobra por processo. Para ~183 mil processos com média de 3 instâncias, o custo anterior seria 550 mil × R$ 0,03 = R$ 16.500/mês.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Análise de variâncias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Variância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Magnitude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Causa-raiz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Esforço realizado acima do estimado em Fases 1, 3 e 5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Estudo do captcha Cloudflare mais longo (Fase 1); estabilização e testes além do previsto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Atraso de ~30 dias na conclusão do desenvolvimento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Média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Escopo adicional acordado (segredo de justiça por instância, ajustes de fallback e de cadastro nas parceiras)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O atraso é explicado por escopo adicional acordado com o cliente, não por desvio de produtividade. As metas de custo, cobertura e estabilidade foram atingidas.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Comunicação dos resultados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Conforme PLA-MED-001 §7, os resultados foram comunicados nas reuniões de alinhamento (ver ATA-AASPCNJ01-001 e GQA-AASPCNJ01-001) e nas devolutivas aos associados sobre o resultado da solução EPROC/ESAJ em produção (jan–fev/2026). A consolidação de encerramento será registrada no fechamento do projeto.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11/06/2026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medição consolidado a partir do Registro de Projeto AASP_CNJ v1.0 (08/06/2026).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R$ 0,01 / processo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R$ 0,01 / processo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MED-AASPCNJ01-001</w:t>
    </w:r>
    <w:r>
      <w:tab/>
    </w:r>
    <w:r>
      <w:rPr>
        <w:rFonts w:ascii="Calibri" w:hAnsi="Calibri"/>
        <w:color w:val="555555"/>
        <w:sz w:val="18"/>
      </w:rPr>
      <w:t>Medição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