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PCP-AASPCNJ01-001   ·   Versão Data   ·   API REST pública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(Arquiteto) · Cezar Hiraki Velazquez (GP / Tech Lead)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solução é composta por dois componentes que operam de forma coordenada: o </w:t>
      </w:r>
      <w:r>
        <w:rPr>
          <w:rFonts w:ascii="Calibri" w:hAnsi="Calibri"/>
          <w:b/>
          <w:i w:val="0"/>
          <w:sz w:val="22"/>
        </w:rPr>
        <w:t>CapturaServer</w:t>
      </w:r>
      <w:r>
        <w:rPr>
          <w:rFonts w:ascii="Calibri" w:hAnsi="Calibri"/>
          <w:b w:val="0"/>
          <w:i w:val="0"/>
          <w:sz w:val="22"/>
        </w:rPr>
        <w:t xml:space="preserve">, serviço Windows que identifica processos pendentes de captura e os enfileira no RabbitMQ; e o </w:t>
      </w:r>
      <w:r>
        <w:rPr>
          <w:rFonts w:ascii="Calibri" w:hAnsi="Calibri"/>
          <w:b/>
          <w:i w:val="0"/>
          <w:sz w:val="22"/>
        </w:rPr>
        <w:t>WorkerAndamentos</w:t>
      </w:r>
      <w:r>
        <w:rPr>
          <w:rFonts w:ascii="Calibri" w:hAnsi="Calibri"/>
          <w:b w:val="0"/>
          <w:i w:val="0"/>
          <w:sz w:val="22"/>
        </w:rPr>
        <w:t>, conjunto de workers que lê a fila, executa as consultas nas fontes de dados e envia os resultados à API AndamentosProcessuais via webhook. O design atende aos requisitos de cobertura universal (RF-01), unificação de fila (RF-03, RF-12), fallback (RF-02, RF-07) e observabilidade (RF-09), operando com múltiplas instâncias concorrentes sem conflito (RNF-01).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 — sempre aplicável</w:t>
      </w:r>
    </w:p>
    <w:p>
      <w:pPr>
        <w:pStyle w:val="Heading2"/>
        <w:keepNext/>
        <w:keepLines/>
      </w:pPr>
      <w:r>
        <w:t>2.1. Arquitetura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solução opera com múltiplas instâncias de workers concorrentes, usando o campo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 como mecanismo de roteamento por processo e a reserva de status na tabela </w:t>
      </w:r>
      <w:r>
        <w:rPr>
          <w:rFonts w:ascii="Courier New" w:hAnsi="Courier New"/>
          <w:b w:val="0"/>
          <w:i w:val="0"/>
          <w:color w:val="333333"/>
          <w:sz w:val="20"/>
        </w:rPr>
        <w:t>ProcessoCaptura</w:t>
      </w:r>
      <w:r>
        <w:rPr>
          <w:rFonts w:ascii="Calibri" w:hAnsi="Calibri"/>
          <w:b w:val="0"/>
          <w:i w:val="0"/>
          <w:sz w:val="22"/>
        </w:rPr>
        <w:t xml:space="preserve"> para evitar processamento duplicado.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CapturaServer (Serviço Windows):</w:t>
      </w:r>
      <w:r>
        <w:rPr>
          <w:rFonts w:ascii="Calibri" w:hAnsi="Calibri"/>
          <w:b w:val="0"/>
          <w:i w:val="0"/>
          <w:sz w:val="22"/>
        </w:rPr>
        <w:t xml:space="preserve"> consulta </w:t>
      </w:r>
      <w:r>
        <w:rPr>
          <w:rFonts w:ascii="Courier New" w:hAnsi="Courier New"/>
          <w:b w:val="0"/>
          <w:i w:val="0"/>
          <w:color w:val="333333"/>
          <w:sz w:val="20"/>
        </w:rPr>
        <w:t>ProcessoCaptura</w:t>
      </w:r>
      <w:r>
        <w:rPr>
          <w:rFonts w:ascii="Calibri" w:hAnsi="Calibri"/>
          <w:b w:val="0"/>
          <w:i w:val="0"/>
          <w:sz w:val="22"/>
        </w:rPr>
        <w:t xml:space="preserve"> por NUPs com </w:t>
      </w:r>
      <w:r>
        <w:rPr>
          <w:rFonts w:ascii="Courier New" w:hAnsi="Courier New"/>
          <w:b w:val="0"/>
          <w:i w:val="0"/>
          <w:color w:val="333333"/>
          <w:sz w:val="20"/>
        </w:rPr>
        <w:t>CodigoProcessoCapturaStatus = 1</w:t>
      </w:r>
      <w:r>
        <w:rPr>
          <w:rFonts w:ascii="Calibri" w:hAnsi="Calibri"/>
          <w:b w:val="0"/>
          <w:i w:val="0"/>
          <w:sz w:val="22"/>
        </w:rPr>
        <w:t xml:space="preserve"> (aguardando captura); reserva cada NUP setando status </w:t>
      </w:r>
      <w:r>
        <w:rPr>
          <w:rFonts w:ascii="Courier New" w:hAnsi="Courier New"/>
          <w:b w:val="0"/>
          <w:i w:val="0"/>
          <w:color w:val="333333"/>
          <w:sz w:val="20"/>
        </w:rPr>
        <w:t>2</w:t>
      </w:r>
      <w:r>
        <w:rPr>
          <w:rFonts w:ascii="Calibri" w:hAnsi="Calibri"/>
          <w:b w:val="0"/>
          <w:i w:val="0"/>
          <w:sz w:val="22"/>
        </w:rPr>
        <w:t xml:space="preserve"> (em processamento); publica o NUP na fila unificada do RabbitMQ, independente do tribunal.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WorkerAndamentos (Workers de Captura):</w:t>
      </w:r>
      <w:r>
        <w:rPr>
          <w:rFonts w:ascii="Calibri" w:hAnsi="Calibri"/>
          <w:b w:val="0"/>
          <w:i w:val="0"/>
          <w:sz w:val="22"/>
        </w:rPr>
        <w:t xml:space="preserve"> lê os itens da fila e verifica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. Se nulo, tenta captura via DataJud/CNJ; se indicar fonte específica, direciona à fonte configurada. Gerencia o token Bearer CNJ via tabela </w:t>
      </w:r>
      <w:r>
        <w:rPr>
          <w:rFonts w:ascii="Courier New" w:hAnsi="Courier New"/>
          <w:b w:val="0"/>
          <w:i w:val="0"/>
          <w:color w:val="333333"/>
          <w:sz w:val="20"/>
        </w:rPr>
        <w:t>PonteAPI</w:t>
      </w:r>
      <w:r>
        <w:rPr>
          <w:rFonts w:ascii="Calibri" w:hAnsi="Calibri"/>
          <w:b w:val="0"/>
          <w:i w:val="0"/>
          <w:sz w:val="22"/>
        </w:rPr>
        <w:t xml:space="preserve"> (renovação automática compartilhada). Executa fallback para EPROC/ESAJ e, depois, para APIs parceiras por prioridade. Envia o resultado ao webhook da API AndamentosProcessuais e atualiza as tabelas de controle.</w:t>
      </w:r>
    </w:p>
    <w:p>
      <w:pPr>
        <w:pStyle w:val="Heading2"/>
        <w:keepNext/>
        <w:keepLines/>
      </w:pPr>
      <w:r>
        <w:t>2.2. Modelo de dados (tabelas de controle)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Tabela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global do processo e a fonte de captura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Status de captura por instância processual, com campos de resposta,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observação de erro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ProcessoCapturaMovimentacaoStatus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Histórico de movimentações por instância,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Ativo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DataUltimaAtualizacao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Token Bearer compartilhado da API CNJ e sua data de expiração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2.3. Integrações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Detalhamento em ITP-AASPCNJ01-001. Resumo: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/ Serviço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DataJud —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pública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primária de captura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RabbitMQ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Message broker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Fila unificada de NUPs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AndamentosProcessuais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interna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Recebe dados via webhook e indexa no Elasticsearch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Elasticsearch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Motor de busca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Armazenamento dos andamentos para o front-end da 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EPROC/ESAJ (TJSP)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judicial (crawler)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secundária via engine Puppeteer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Parceiras (Solucionário, Botmax)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REST pagas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Fontes terciárias (fallback final)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2.4.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primária de captura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privadas; crawler próprio universal; DataJud/CNJ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DataJud/CNJ — cobertura universal, custo R$ 0,01/processo, modelo padronizado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GDE-AASPCNJ01-001 (D02)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Fila de mensagens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Filas separadas por tribunal; fila única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Fila única — simplifica fluxo e escalonamento (RF-03)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GDE-AASPCNJ01-001 (D03)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do token Bearer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Token por worker; token compartilhado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Token compartilhado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evita renovações paralelas e condições de corrida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GDE-AASPCNJ01-001 (D04)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Local da normalização do JSON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 API; no worker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 worker — entrega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pronto, simplificando a API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GDE-AASPCNJ01-001 (D05)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2.5. Estratégia de fallback (três níveis)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Condição de ativação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DataJud/CNJ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Primeira tentativa para NUPs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nulo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Engine EPROC/ESAJ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CNJ falhou e o tribunal está configurado para API AASP-EPROC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Parceiras (por prioridade)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CNJ e EPROC/ESAJ falharam; menor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Prioridade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APIEmpresa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ApiAASP = 0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 — não aplicável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Projeto de back-end/worker, sem interface de usuário. Conforme ADAP-AASPCNJ01-001, o design de UX/UI não se aplica.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RF-01, RF-05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WorkerAndamentos — captura DataJud/CNJ + token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Engine EPROC/ESAJ (Puppeteer) — fallback nível 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RF-03, RF-12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 — enfileiramento unificado RabbitMQ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Rotina de desligamento de NUP nas APIs parceiras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RF-06, RF-09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Tabelas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nível 3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APIEmpresa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prioridade)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(por instância)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→ API AndamentosProcessuais → Elasticsearch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Matriz completa em RASTR-AASPCNJ01-001.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do design (PCP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avaliado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encontrado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captura CNJ e roteamento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Campos do modelo CNJ com dados do TJSP hardcoded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Parametrização por tribunal (BUG-07)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Modelo de gravação no Elasticsearch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Alinhamento de campos CNJ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do mapeamento (Abr/2026)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Concorrência de token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/ Raony Chagas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renovações paralelas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Token compartilhado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(D04)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decisão pela DataJud/CNJ como fonte primária foi formalizada na reunião de alinhamento técnico de 06/04/2026.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consolidado a partir do Registro de Projeto AASP_CNJ v1.0 (08/06/2026) — seção 4 (rotulada "OSW" na fonte) reclassificada como PCP.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Evidências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cnj_arquitetura.svg</w:t>
      </w:r>
      <w:r>
        <w:rPr>
          <w:rFonts w:ascii="Calibri" w:hAnsi="Calibri"/>
          <w:b w:val="0"/>
          <w:i w:val="0"/>
          <w:sz w:val="22"/>
        </w:rPr>
        <w:t xml:space="preserve"> — Arquitetura da solução (WorkerAndamentos / DataJud-CNJ)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ProcessoCapturaSchema.png</w:t>
      </w:r>
      <w:r>
        <w:rPr>
          <w:rFonts w:ascii="Calibri" w:hAnsi="Calibri"/>
          <w:b w:val="0"/>
          <w:i w:val="0"/>
          <w:sz w:val="22"/>
        </w:rPr>
        <w:t xml:space="preserve"> — Modelo de dados — ProcessoCaptura (CodigoFonteAPI)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ProcessoCapturaLoginSchema.png</w:t>
      </w:r>
      <w:r>
        <w:rPr>
          <w:rFonts w:ascii="Calibri" w:hAnsi="Calibri"/>
          <w:b w:val="0"/>
          <w:i w:val="0"/>
          <w:sz w:val="22"/>
        </w:rPr>
        <w:t xml:space="preserve"> — Modelo de dados — ProcessoCapturaLogin (Observacao/Segredo)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ProcessoCapturaMovimentacaoStatuSchema.png</w:t>
      </w:r>
      <w:r>
        <w:rPr>
          <w:rFonts w:ascii="Calibri" w:hAnsi="Calibri"/>
          <w:b w:val="0"/>
          <w:i w:val="0"/>
          <w:sz w:val="22"/>
        </w:rPr>
        <w:t xml:space="preserve"> — Modelo de dados — ProcessoCapturaMovimentacaoStatus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FonteApiSchema.png</w:t>
      </w:r>
      <w:r>
        <w:rPr>
          <w:rFonts w:ascii="Calibri" w:hAnsi="Calibri"/>
          <w:b w:val="0"/>
          <w:i w:val="0"/>
          <w:sz w:val="22"/>
        </w:rPr>
        <w:t xml:space="preserve"> — Modelo de dados — Fonte/CodigoFonteAPI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pcp-roteamento-codigofonteapi.png</w:t>
      </w:r>
      <w:r>
        <w:rPr>
          <w:rFonts w:ascii="Calibri" w:hAnsi="Calibri"/>
          <w:b w:val="0"/>
          <w:i w:val="0"/>
          <w:sz w:val="22"/>
        </w:rPr>
        <w:t xml:space="preserve"> — Roteamento de fonte por CodigoFonteAPI</w:t>
      </w:r>
    </w:p>
    <w:p>
      <w:pPr>
        <w:pStyle w:val="Heading1"/>
      </w:pPr>
      <w:r>
        <w:t>Evidências (anexos)</w:t>
      </w:r>
    </w:p>
    <w:p>
      <w:r>
        <w:t>Arquitetura da solução (WorkerAndamentos / DataJud-CNJ)</w:t>
      </w:r>
    </w:p>
    <w:p>
      <w:r>
        <w:t>[anexo não-imagem: cnj_arquitetura.svg — ver pasta evidencias/]</w:t>
      </w:r>
    </w:p>
    <w:p>
      <w:r>
        <w:t>Modelo de dados — ProcessoCaptura (CodigoFonteAPI)</w:t>
      </w:r>
    </w:p>
    <w:p>
      <w:r>
        <w:drawing>
          <wp:inline xmlns:a="http://schemas.openxmlformats.org/drawingml/2006/main" xmlns:pic="http://schemas.openxmlformats.org/drawingml/2006/picture">
            <wp:extent cx="5400000" cy="3797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oCapturaSche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Modelo de dados — ProcessoCapturaLogin (Observacao/Segredo)</w:t>
      </w:r>
    </w:p>
    <w:p>
      <w:r>
        <w:drawing>
          <wp:inline xmlns:a="http://schemas.openxmlformats.org/drawingml/2006/main" xmlns:pic="http://schemas.openxmlformats.org/drawingml/2006/picture">
            <wp:extent cx="5400000" cy="2677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oCapturaLoginSch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Modelo de dados — ProcessoCapturaMovimentacaoStatus</w:t>
      </w:r>
    </w:p>
    <w:p>
      <w:r>
        <w:drawing>
          <wp:inline xmlns:a="http://schemas.openxmlformats.org/drawingml/2006/main" xmlns:pic="http://schemas.openxmlformats.org/drawingml/2006/picture">
            <wp:extent cx="5400000" cy="2731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oCapturaMovimentacaoStatuSche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Modelo de dados — Fonte/CodigoFonteAPI</w:t>
      </w:r>
    </w:p>
    <w:p>
      <w:r>
        <w:drawing>
          <wp:inline xmlns:a="http://schemas.openxmlformats.org/drawingml/2006/main" xmlns:pic="http://schemas.openxmlformats.org/drawingml/2006/picture">
            <wp:extent cx="5400000" cy="2989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eApiSche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Roteamento de fonte por CodigoFonteAPI</w:t>
      </w:r>
    </w:p>
    <w:p>
      <w:r>
        <w:drawing>
          <wp:inline xmlns:a="http://schemas.openxmlformats.org/drawingml/2006/main" xmlns:pic="http://schemas.openxmlformats.org/drawingml/2006/picture">
            <wp:extent cx="5400000" cy="4125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p-roteamento-codigofonteap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55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API REST pública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API REST pública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PCP-AASPCNJ01-001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