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PLA-AASPCNJ01-001   ·   Versão Data   ·   1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reconstrói o modelo de captura de andamentos processuais da AASP, que apresentava quatro problemas centrais: instabilidade dos crawlers, cobertura incompleta, custo operacional elevado (~R$ 16.500/mês na API Solucionário) e arquitetura monolítica sem observabilidade. A solução é entregue por dois eixos: um agente de captura nativo para o TJSP (EPROC/ESAJ) e a integração com a API DataJud/CNJ como fonte primária universal, com roteamento por processo e fallback estruturado. Ver REQ-AASPCNJ01-001 para os requisitos detalhados.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agente EPROC/ESAJ para o TJSP; integração DataJud/CNJ como fonte primária;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; fallback em três níveis; fila RabbitMQ unificada; webhook para a API AndamentosProcessuais; desligamento de APIs parceiras pós-captura; controle de segredo de justiça por instância; gestão centralizada de token Bearer CNJ.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front-end de consulta do associado e índice Elasticsearch já existentes (a solução integra-se a eles); módulos da plataforma AASP fora do fluxo de captura.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REQ-AASPCNJ01-001.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processo-padrão (PRO-GPC-001) foi adaptado a este projeto conforme o GUIA-GPC-001. Registro completo em ADAP-AASPCNJ01-001. Principais decisões: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back-end/worker, sem interface de usuário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Nível de documentação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médio porte, integração crítica de operação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 e cadência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por horas/cards (ClickUp); backlog modelado em sprints e story points (retroativo) para evidência e carga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Concilia a gestão real por atividades com a rastreabilidade ágil (ver GEST-AASPCNJ01)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Sênior acumulou execução de testes nas fases iniciais; GP acumulou responsável por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Analista de Testes dedicado a partir da Fase 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foi estimado e acompanhado por </w:t>
      </w:r>
      <w:r>
        <w:rPr>
          <w:rFonts w:ascii="Calibri" w:hAnsi="Calibri"/>
          <w:b/>
          <w:i w:val="0"/>
          <w:sz w:val="22"/>
        </w:rPr>
        <w:t>horas de esforço</w:t>
      </w:r>
      <w:r>
        <w:rPr>
          <w:rFonts w:ascii="Calibri" w:hAnsi="Calibri"/>
          <w:b w:val="0"/>
          <w:i w:val="0"/>
          <w:sz w:val="22"/>
        </w:rPr>
        <w:t xml:space="preserve"> registradas no sistema de gestão (ClickUp), somando as atividades dos projetos id 213 (EPROC/ESAJ) e id 256 (CNJ). Para a evidência de gestão ágil e a carga no Jira, o backlog foi </w:t>
      </w:r>
      <w:r>
        <w:rPr>
          <w:rFonts w:ascii="Calibri" w:hAnsi="Calibri"/>
          <w:b/>
          <w:i w:val="0"/>
          <w:sz w:val="22"/>
        </w:rPr>
        <w:t>modelado retroativamente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alibri" w:hAnsi="Calibri"/>
          <w:b/>
          <w:i w:val="0"/>
          <w:sz w:val="22"/>
        </w:rPr>
        <w:t>20 histórias (155 SP)</w:t>
      </w:r>
      <w:r>
        <w:rPr>
          <w:rFonts w:ascii="Calibri" w:hAnsi="Calibri"/>
          <w:b w:val="0"/>
          <w:i w:val="0"/>
          <w:sz w:val="22"/>
        </w:rPr>
        <w:t xml:space="preserve"> derivadas dos requisitos (RF/RNF), distribuídas em </w:t>
      </w:r>
      <w:r>
        <w:rPr>
          <w:rFonts w:ascii="Calibri" w:hAnsi="Calibri"/>
          <w:b/>
          <w:i w:val="0"/>
          <w:sz w:val="22"/>
        </w:rPr>
        <w:t>Discovery + 11 sprints</w:t>
      </w:r>
      <w:r>
        <w:rPr>
          <w:rFonts w:ascii="Calibri" w:hAnsi="Calibri"/>
          <w:b w:val="0"/>
          <w:i w:val="0"/>
          <w:sz w:val="22"/>
        </w:rPr>
        <w:t xml:space="preserve"> (velocity média ~14 SP/sprint) e conciliadas com as horas reais. Detalhamento em GEST-AASPCNJ01-001 (abas Backlog, Tarefas e Acompanhamento) e em ADAP-AASPCNJ01-001.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Esforço estimado × realizado por fase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Análise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Desenvolvimento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Estabilização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Desenvolvimento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Testes 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109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6 — Implantação e Complementos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586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~601 (parcial)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Cronograma, marcos e orçamento (GPR 5)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Marcos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Abertura (Fase 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EPROC/ESAJ (Fases 2–3)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desenvolvimento CNJ (Fase 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 validação (Fase 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Implantação e complementos (Fase 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30/06/2026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Estrutura de fases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Análise e Arquitetura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Jan/2026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Desenvolvimento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– Mar/2026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Estabilização EPROC/ESAJ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 – Abr/2026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Desenvolvimento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 – 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Testes e Validação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 – 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6 — Implantação e Complementos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Orçamento total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totais estimadas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586 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Horas realizadas (parcial)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~601 h (Fase 6 em apuração)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01/10/2025 a 30/06/2026 (previsto)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Equipe:</w:t>
      </w:r>
      <w:r>
        <w:rPr>
          <w:rFonts w:ascii="Calibri" w:hAnsi="Calibri"/>
          <w:b w:val="0"/>
          <w:i w:val="0"/>
          <w:sz w:val="22"/>
        </w:rPr>
        <w:t xml:space="preserve"> Cezar Hiraki Velazquez (Gerente de Projeto / Tech Lead, todas as fases); Cezar Hiraki Velazquez (Arquiteto de Software, Fases 1–3); Raony Chagas (Desenvolvedor Sênior, Fases 2–6); Renan Kiyoshi (Desenvolvedor de Suporte, Fases 4–5); Caroline Sousa (Analista de Testes, Fase 5); Lucas Batista (Infraestrutura/DevOps, Fases 1 e 6).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 e ferramentas:</w:t>
      </w:r>
      <w:r>
        <w:rPr>
          <w:rFonts w:ascii="Calibri" w:hAnsi="Calibri"/>
          <w:b w:val="0"/>
          <w:i w:val="0"/>
          <w:sz w:val="22"/>
        </w:rPr>
        <w:t xml:space="preserve"> Azure DevOps (código e CI/CD), AWS (hospedagem dos workers e APIs internas), RabbitMQ, Elasticsearch, ClickUp (gestão de atividades). Ver GCO-AASPCNJ01-001.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(Representante do Cliente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Validação, homologação 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alinhamento e devolutivas de 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interno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 financeiro e operacional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por marco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e decisões técnicas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de alinhamento periódicas (ver ATA-AASPCNJ01-001)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e suporte pós-go-live (GPR 8, GPR 16)</w:t>
      </w:r>
    </w:p>
    <w:p>
      <w:pPr>
        <w:pStyle w:val="Heading2"/>
        <w:keepNext/>
        <w:keepLines/>
      </w:pPr>
      <w:r>
        <w:t>8.1 Estratégia de transição para produção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deploy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por amostragem → montagem de pacote GMUD → agendamento com Infraestrutura → 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pela execução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Infraestrutura /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Aprovador do go-live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GMUD (Gerência de Mudança) — montagem de pacote, validação e agendamento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rollback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Reversão para a versão anterior do worker; APIs parceiras mantidas como fallback configurável durante a migração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8.2 Critérios de prontidão para 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Obrigatório?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 por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captura validado (sucesso, fallback e erro parcial)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Persistência de movimentações validada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configuração registrada (tag de versão)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(DevOps) / Cezar Hiraki Velazquez (GCO)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GMUD montado e agendado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Lucas Batista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8.3 Suporte e monitoramento pós-go-live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ativo da fila RabbitMQ e dos logs de captura por instância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+ 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que monitorar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Travamentos de fila (meta: zero travamentos manuais/mês); erros por instância nas tabelas de controle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Exposição = Probabilidade × Impacto (escala 1–3 por dimensão), conforme EST-GPC-002.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Indisponibilidade/alteração na API DataJud/CNJ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Mitigar — manter APIs parceiras como fallback configurável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Travamento da fila RabbitMQ (ocorreu)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logging aprimorado, tratamento de exceção na publicação e monitoramento ativo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 em segredo de justiça sem cobertura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controle por instância e fallback para EPROC/ESAJ ou parceiras com credencial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Variação de layout dos portais EPROC/ESAJ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CNJ como fonte primária reduz exposição; EPROC como fallback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duplo pagamento durante migração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desligamento automático nas parceiras após 1ª captura via CNJ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Erros parciais por instância não tratados (ocorreu)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Mitigar — controle granular de status por instância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é viável: a economia projetada (~R$ 180 mil/ano) supera amplamente o esforço estimado (586 h), e a arquitetura de fontes com fallback reduz o risco de indisponibilidade. A principal restrição (segredo de justiça sem cobertura no CNJ) é endereçada pelo fallback por instância.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registrar no encerramento (Onda 3)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baseline do projeto e o aceite final serão registrados no encerramento (TAE-AASPCNJ01-001), conforme o estágio atual do projeto (em execução).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PLA-AASPCNJ01-001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