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REGISTRO DE ANÁLISE DE DECISÃO</w:t>
      </w:r>
    </w:p>
    <w:p>
      <w:pPr>
        <w:spacing w:after="32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AASP Gerenciador — Feature: Grupos de Usuários</w:t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do Documento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GDE-AASP01-001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Gerenciador — Feature: Grupos de Usuários (AASP01)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 (Tech Lead) / Abraão Oliveira (GP)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GDE — Gerência de Decisões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Stack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C# .NET Framework 4.7.2, Dapper, SQL Server (auxo3/temis3), ASP.NET Core Web API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GDE-001 — ORM: Dapper vs Entity Framework Core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Contexto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módulo de Grupos de Usuários precisa de acesso ao banco auxo3 (SQL Server) com queries complexas de paginação, filtros e joins entre 4 tabelas. Deve seguir o padrão da codebase existente do Gerenciador AASP, mantendo consistência técnica com o microserviço ms.auxo.usuarios já implantado em produção.</w:t>
      </w:r>
    </w:p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Gatilho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Decisão de design relevante — impacta produtividade, performance e manutenibilidade de todo o módulo AG. A escolha do ORM define o padrão de acesso a dados para os 18 métodos de repositório (AG-22) e todos os subsequentes.</w:t>
      </w:r>
    </w:p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Alternativas Avaliadas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626"/>
      </w:tblGrid>
      <w:tr>
        <w:tc>
          <w:tcPr>
            <w:tcW w:type="dxa" w:w="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6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Dapper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Micro-ORM; SQL explícito parametrizado; queries customizadas; padrão já adotado em ms.auxo.usuarios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Entity Framework Core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ORM completo; LINQ-to-SQL; migrations automáticas; maior abstração mas menor controle de queries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ADO.NET puro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direto sem ORM; máximo controle mas alto volume de boilerplate e maior risco de erros manuais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2.4 Critérios de Avaliação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26"/>
        <w:gridCol w:w="2500"/>
      </w:tblGrid>
      <w:tr>
        <w:tc>
          <w:tcPr>
            <w:tcW w:type="dxa" w:w="65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em queries complexas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Consistência com codebase existente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sobre SQL gerado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Produtividade de desenvolvimento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Curva de aprendizado da equipe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Baixo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2.5 Avaliação — Matriz de Decisão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2042"/>
        <w:gridCol w:w="2042"/>
        <w:gridCol w:w="2042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9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  <w:tc>
          <w:tcPr>
            <w:tcW w:type="dxa" w:w="204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A: Dapper</w:t>
            </w:r>
          </w:p>
        </w:tc>
        <w:tc>
          <w:tcPr>
            <w:tcW w:type="dxa" w:w="204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B: EF Core</w:t>
            </w:r>
          </w:p>
        </w:tc>
        <w:tc>
          <w:tcPr>
            <w:tcW w:type="dxa" w:w="204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C: ADO.NET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Performance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Alto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Excelente — SQL direto sem overhead ORM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Boa — mas LINQ gera N+1 em joins complexos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Excelente — mas alto esforço de implementação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Consistência codebase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Alto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— padrão de ms.auxo.usuarios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Parcial — seria exceção na codebase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Parcial — diferente do padrão atual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Controle SQL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Médio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— SQL explícito e auditável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Parcial — depende de profiling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— controle absoluto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Produtividade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Médio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— modelo já conhecido pela equipe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para novos projetos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Baixa — muito boilerplate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Curva aprendizado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Baixo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Zero — equipe já usa Dapper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Moderada para queries complexas</w:t>
            </w:r>
          </w:p>
        </w:tc>
        <w:tc>
          <w:tcPr>
            <w:tcW w:type="dxa" w:w="20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Zero — equipe conhece ADO.NET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2.6 Decisão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Decisão: Alternativa A — Dapper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Justificativa: consistência com o padrão já estabelecido em ms.auxo.usuarios (mesmas convenções, mesmo repositório base), desempenho superior para queries com paginação complexa e joins entre múltiplas tabelas de grupos, e curva de aprendizado zero para a equipe. A alternativa B (EF Core) introduziria inconsistência arquitetural na codebase sem benefício prático para o perfil de queries do módulo AG. A alternativa C seria descartada pelo alto custo de manutenção.</w:t>
      </w:r>
    </w:p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2.7 Riscos Associados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3"/>
        <w:gridCol w:w="5513"/>
      </w:tblGrid>
      <w:tr>
        <w:tc>
          <w:tcPr>
            <w:tcW w:type="dxa" w:w="3513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5513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 migrations automáticas — schema manual</w:t>
            </w:r>
          </w:p>
        </w:tc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Scripts SQL versionados no repositório; revisão obrigatória de DDL antes de deploy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SQL manual propenso a erros de parametrização</w:t>
            </w:r>
          </w:p>
        </w:tc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Dapper parametrizado elimina SQL injection; revisão de código verifica todas as queries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Queries complexas de difícil manutenção</w:t>
            </w:r>
          </w:p>
        </w:tc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Convenção de nomenclatura e comentários XML em métodos de repositório; revisão técnica obrigatória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GDE-002 — Estratégia de Exclusão: Hard Delete vs Soft Delete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Contexto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Grupos de usuários podem ser excluídos pelo administrador do escritório. Grupos excluídos podem ter histórico de vínculos com processos e contratos que precisa ser preservado para fins de auditoria e rastreabilidade. A decisão impacta a integridade referencial do banco auxo3 e a estratégia de listagem de registros ativos.</w:t>
      </w:r>
    </w:p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Gatilho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Decisão de design com impacto direto na integridade referencial e na auditoria de dados. A escolha define como o sistema trata registros históricos e como as queries de listagem filtram os dados, afetando todos os métodos do repositório AG-22.</w:t>
      </w:r>
    </w:p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Alternativas Avaliadas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6426"/>
      </w:tblGrid>
      <w:tr>
        <w:tc>
          <w:tcPr>
            <w:tcW w:type="dxa" w:w="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4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Hard Delete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DELETE físico do registro — perde histórico de vínculos; simples de implementar mas quebra integridade referencial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Soft Delete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Coluna Ativo=false — preserva histórico de vínculos para auditoria; padrão adotado no Gerenciador AASP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Archiving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Mover registro para tabela de arquivo (GruposUsuariosArquivo) — preserva histórico mas adiciona complexidade de schema e queries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Decisão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Decisão: Alternativa B — Soft Delete via coluna Ativo na entidade GrupoUsuariosModels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Justificativa: preserva o histórico de vínculos de grupos com processos e contratos para fins de auditoria; é o padrão adotado em todo o Gerenciador AASP para entidades com histórico (ex: advogados, processos arquivados); não quebra FKs existentes no banco auxo3; simples de implementar com filtro WHERE Ativo = 1 em todas as queries de listagem. A alternativa A (Hard Delete) foi descartada por perder dados históricos críticos para auditoria. A alternativa C (Archiving) foi descartada por adicionar complexidade desnecessária sem benefício proporcional.</w:t>
      </w:r>
    </w:p>
    <w:p>
      <w:pPr>
        <w:spacing w:after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3.5 Riscos Associados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3"/>
        <w:gridCol w:w="5513"/>
      </w:tblGrid>
      <w:tr>
        <w:tc>
          <w:tcPr>
            <w:tcW w:type="dxa" w:w="3513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5513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Acúmulo de registros inativos ao longo do tempo</w:t>
            </w:r>
          </w:p>
        </w:tc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Índice composto em (Ativo, EscritorioId) para garantir performance nas queries de listagem; monitoramento de volume por sprint</w:t>
            </w:r>
          </w:p>
        </w:tc>
      </w:tr>
      <w:tr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Queries de listagem retornando inativos por esquecimento do filtro</w:t>
            </w:r>
          </w:p>
        </w:tc>
        <w:tc>
          <w:tcPr>
            <w:tcW w:type="dxa" w:w="5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Convenção: toda query de listagem DEVE incluir WHERE Ativo = 1; critério de revisão de código obrigatório (PR review)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Histórico de Revisões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1"/>
        <w:gridCol w:w="1697"/>
        <w:gridCol w:w="2706"/>
        <w:gridCol w:w="3492"/>
      </w:tblGrid>
      <w:tr>
        <w:tc>
          <w:tcPr>
            <w:tcW w:type="dxa" w:w="1131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9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7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49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1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2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 / Abraão Oliveira</w:t>
            </w:r>
          </w:p>
        </w:tc>
        <w:tc>
          <w:tcPr>
            <w:tcW w:type="dxa" w:w="34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Versão inicial — decisões GDE-001 (ORM) e GDE-002 (Soft Delete) registradas no kickoff</w:t>
            </w:r>
          </w:p>
        </w:tc>
      </w:tr>
    </w:tbl>
    <w:p>
      <w:pPr>
        <w:spacing w:after="160"/>
      </w:pPr>
    </w:p>
    <w:sectPr>
      <w:head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026"/>
      <w:gridCol w:w="3000"/>
    </w:tblGrid>
    <w:tr>
      <w:tc>
        <w:tcPr>
          <w:tcW w:type="dxa" w:w="6026"/>
          <w:tcBorders>
            <w:top w:val="single" w:color="CCCCCC" w:sz="1"/>
            <w:left w:val="single" w:color="CCCCCC" w:sz="1"/>
            <w:bottom w:val="single" w:color="CCCCCC" w:sz="1"/>
            <w:right w:val="single" w:color="CCCCCC" w:sz="1"/>
          </w:tcBorders>
          <w:shd w:fill="1F4E79" w:val="clear"/>
          <w:tcMar>
            <w:top w:type="dxa" w:w="80"/>
            <w:left w:type="dxa" w:w="120"/>
            <w:bottom w:type="dxa" w:w="80"/>
            <w:right w:type="dxa" w:w="12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GDE-AASP01-001 — Registro de Análise de Decisão</w:t>
          </w:r>
        </w:p>
      </w:tc>
      <w:tc>
        <w:tcPr>
          <w:tcW w:type="dxa" w:w="3000"/>
          <w:tcBorders>
            <w:top w:val="single" w:color="CCCCCC" w:sz="1"/>
            <w:left w:val="single" w:color="CCCCCC" w:sz="1"/>
            <w:bottom w:val="single" w:color="CCCCCC" w:sz="1"/>
            <w:right w:val="single" w:color="CCCCCC" w:sz="1"/>
          </w:tcBorders>
          <w:shd w:fill="2E75B6" w:val="clear"/>
          <w:tcMar>
            <w:top w:type="dxa" w:w="80"/>
            <w:left w:type="dxa" w:w="120"/>
            <w:bottom w:type="dxa" w:w="80"/>
            <w:right w:type="dxa" w:w="120"/>
          </w:tcMar>
        </w:tcPr>
        <w:p>
          <w:pPr>
            <w:jc w:val="center"/>
          </w:pPr>
          <w:r>
            <w:rPr>
              <w:rFonts w:ascii="Arial" w:cs="Arial" w:eastAsia="Arial" w:hAnsi="Arial"/>
              <w:color w:val="FFFFFF"/>
              <w:sz w:val="18"/>
              <w:szCs w:val="18"/>
            </w:rPr>
            <w:t xml:space="preserve">Versão 1.0 | 25/05/2026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2026-06-15T17:30:10.611Z</dcterms:created>
  <dcterms:modified xsi:type="dcterms:W3CDTF">2026-06-15T17:30:10.611Z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