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Arial" w:cs="Arial" w:eastAsia="Arial" w:hAnsi="Arial"/>
          <w:b/>
          <w:bCs/>
          <w:color w:val="1F4E79"/>
          <w:sz w:val="36"/>
          <w:szCs w:val="36"/>
        </w:rPr>
        <w:t xml:space="preserve">REGISTRO DE REVISÃO TÉCNICA</w:t>
      </w:r>
    </w:p>
    <w:p>
      <w:pPr>
        <w:spacing w:after="320"/>
        <w:jc w:val="center"/>
      </w:pPr>
      <w:r>
        <w:rPr>
          <w:rFonts w:ascii="Arial" w:cs="Arial" w:eastAsia="Arial" w:hAnsi="Arial"/>
          <w:color w:val="2E75B6"/>
          <w:sz w:val="24"/>
          <w:szCs w:val="24"/>
        </w:rPr>
        <w:t xml:space="preserve">AASP Gerenciador — Feature: Grupos de Usuários</w:t>
      </w:r>
    </w:p>
    <w:p>
      <w:pPr>
        <w:pStyle w:val="Heading1"/>
        <w:pBdr>
          <w:bottom w:val="single" w:color="2E75B6" w:sz="6" w:space="4"/>
        </w:pBdr>
        <w:spacing w:after="160" w:before="320"/>
      </w:pPr>
      <w:r>
        <w:rPr>
          <w:rFonts w:ascii="Arial" w:cs="Arial" w:eastAsia="Arial" w:hAnsi="Arial"/>
          <w:b/>
          <w:bCs/>
          <w:color w:val="1F4E79"/>
          <w:sz w:val="28"/>
          <w:szCs w:val="28"/>
        </w:rPr>
        <w:t xml:space="preserve">1. Identificação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Código do Documento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REV-AASP01-001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Versão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14/06/2026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Projeto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AASP Gerenciador — Feature: Grupos de Usuários (AASP01)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Responsável pelas Revisões</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 (Tech Lead)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Processo MPS-SW</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VV — Verificação e Validação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Gerente de Projeto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Abraão Oliveira</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Repositório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Azure DevOps — komatsuhenry67/gerenciador-aasp / ms.auxo.gruposusuarios</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2. Objetivo</w:t>
      </w:r>
    </w:p>
    <w:p>
      <w:pPr>
        <w:spacing w:after="120"/>
      </w:pPr>
      <w:r>
        <w:rPr>
          <w:rFonts w:ascii="Arial" w:cs="Arial" w:eastAsia="Arial" w:hAnsi="Arial"/>
          <w:sz w:val="20"/>
          <w:szCs w:val="20"/>
        </w:rPr>
        <w:t xml:space="preserve">Este documento registra formalmente as revisões técnicas (code reviews) realizadas como parte do processo de verificação técnica do módulo AG (Grupos de Usuários) do projeto AASP Gerenciador. As revisões cobrem as 5 Pull Requests mergeadas na branch develop entre 06/06/2026 e 14/06/2026, abrangendo modelo de dados, DTOs, repositório, serviço e endpoints da feature. O objetivo é garantir conformidade com os padrões técnicos Timeware, segurança e qualidade do código entregue.</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3. Critérios de Revisão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Critério</w:t>
            </w:r>
          </w:p>
        </w:tc>
        <w:tc>
          <w:tcPr>
            <w:tcW w:type="dxa" w:w="62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Descrição</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Padrões de código</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Nomenclatura C# conforme convenções Timeware; métodos com responsabilidade única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Segurança</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Uso obrigatório de Dapper parametrizado; nenhuma concatenação de SQL permitida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Escopo de dados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Todas as queries devem filtrar por EscritorioId (multi-tenancy)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Cobertura de erro</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Validações de negócio no serviço; retornos HTTP corretos no controller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Performance</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Paginação obrigatória em listagens; índices verificados no modelo de dados</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4. Revisões Realizadas</w:t>
      </w:r>
    </w:p>
    <w:p>
      <w:pPr>
        <w:pStyle w:val="Heading2"/>
        <w:spacing w:after="120" w:before="240"/>
      </w:pPr>
      <w:r>
        <w:rPr>
          <w:rFonts w:ascii="Arial" w:cs="Arial" w:eastAsia="Arial" w:hAnsi="Arial"/>
          <w:b/>
          <w:bCs/>
          <w:color w:val="2E75B6"/>
          <w:sz w:val="24"/>
          <w:szCs w:val="24"/>
        </w:rPr>
        <w:t xml:space="preserve">4.1 PR #11 — AG-20: Modelo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gridSpan w:val="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 #11 — AG-20: Modelo de Dados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Revisor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 do Merge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06/06/2026</w:t>
            </w:r>
          </w:p>
        </w:tc>
      </w:tr>
    </w:tbl>
    <w:p>
      <w:pPr>
        <w:spacing w:after="160"/>
      </w:pPr>
    </w:p>
    <w:p>
      <w:pPr>
        <w:spacing w:after="120"/>
      </w:pPr>
      <w:r>
        <w:rPr>
          <w:rFonts w:ascii="Arial" w:cs="Arial" w:eastAsia="Arial" w:hAnsi="Arial"/>
          <w:sz w:val="20"/>
          <w:szCs w:val="20"/>
        </w:rPr>
        <w:t xml:space="preserve">Achados: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60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[Melhoria resolvida]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GruposPermissao.Nivel: definir enum ao invés de int livre → resolvido (Henry adicionou comentário XML com valores válidos)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[Sem ação]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EscritorioId presente em todas as entidades principais — correto</w:t>
            </w:r>
          </w:p>
        </w:tc>
      </w:tr>
    </w:tbl>
    <w:p>
      <w:pPr>
        <w:spacing w:after="160"/>
      </w:pPr>
    </w:p>
    <w:p>
      <w:pPr>
        <w:pStyle w:val="Heading2"/>
        <w:spacing w:after="120" w:before="240"/>
      </w:pPr>
      <w:r>
        <w:rPr>
          <w:rFonts w:ascii="Arial" w:cs="Arial" w:eastAsia="Arial" w:hAnsi="Arial"/>
          <w:b/>
          <w:bCs/>
          <w:color w:val="2E75B6"/>
          <w:sz w:val="24"/>
          <w:szCs w:val="24"/>
        </w:rPr>
        <w:t xml:space="preserve">4.2 PR #12 — AG-21: DTOs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gridSpan w:val="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 #12 — AG-21: DTOs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Revisor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 do Merge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06/06/2026</w:t>
            </w:r>
          </w:p>
        </w:tc>
      </w:tr>
    </w:tbl>
    <w:p>
      <w:pPr>
        <w:spacing w:after="160"/>
      </w:pPr>
    </w:p>
    <w:p>
      <w:pPr>
        <w:spacing w:after="120"/>
      </w:pPr>
      <w:r>
        <w:rPr>
          <w:rFonts w:ascii="Arial" w:cs="Arial" w:eastAsia="Arial" w:hAnsi="Arial"/>
          <w:sz w:val="20"/>
          <w:szCs w:val="20"/>
        </w:rPr>
        <w:t xml:space="preserve">Achados: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60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[Melhoria resolvida]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IncluirGruposDTO.Nome sem anotação [Required] → resolvido (adicionado)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[Sem ação]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Separação correta entre DTOs de entrada (Incluir, Alterar) e saída (GruposDTO, GrupoBuscarPorIdDTO) — correto</w:t>
            </w:r>
          </w:p>
        </w:tc>
      </w:tr>
    </w:tbl>
    <w:p>
      <w:pPr>
        <w:spacing w:after="160"/>
      </w:pPr>
    </w:p>
    <w:p>
      <w:pPr>
        <w:pStyle w:val="Heading2"/>
        <w:spacing w:after="120" w:before="240"/>
      </w:pPr>
      <w:r>
        <w:rPr>
          <w:rFonts w:ascii="Arial" w:cs="Arial" w:eastAsia="Arial" w:hAnsi="Arial"/>
          <w:b/>
          <w:bCs/>
          <w:color w:val="2E75B6"/>
          <w:sz w:val="24"/>
          <w:szCs w:val="24"/>
        </w:rPr>
        <w:t xml:space="preserve">4.3 PR #13 — AG-22: Repositório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gridSpan w:val="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 #13 — AG-22: Repositório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Revisor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 do Merge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06/06/2026</w:t>
            </w:r>
          </w:p>
        </w:tc>
      </w:tr>
    </w:tbl>
    <w:p>
      <w:pPr>
        <w:spacing w:after="160"/>
      </w:pPr>
    </w:p>
    <w:p>
      <w:pPr>
        <w:spacing w:after="120"/>
      </w:pPr>
      <w:r>
        <w:rPr>
          <w:rFonts w:ascii="Arial" w:cs="Arial" w:eastAsia="Arial" w:hAnsi="Arial"/>
          <w:sz w:val="20"/>
          <w:szCs w:val="20"/>
        </w:rPr>
        <w:t xml:space="preserve">Achados: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60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[Sem ação]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Todos os 18 métodos usam parâmetros Dapper sem concatenação — correto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[Melhoria resolvida]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BuscarGruposPaginado não retornava TotalRecords → resolvido (Henry adicionou COUNT(*) na query)</w:t>
            </w:r>
          </w:p>
        </w:tc>
      </w:tr>
    </w:tbl>
    <w:p>
      <w:pPr>
        <w:spacing w:after="160"/>
      </w:pPr>
    </w:p>
    <w:p>
      <w:pPr>
        <w:pStyle w:val="Heading2"/>
        <w:spacing w:after="120" w:before="240"/>
      </w:pPr>
      <w:r>
        <w:rPr>
          <w:rFonts w:ascii="Arial" w:cs="Arial" w:eastAsia="Arial" w:hAnsi="Arial"/>
          <w:b/>
          <w:bCs/>
          <w:color w:val="2E75B6"/>
          <w:sz w:val="24"/>
          <w:szCs w:val="24"/>
        </w:rPr>
        <w:t xml:space="preserve">4.4 PR #14 — AG-23: Serviço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gridSpan w:val="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 #14 — AG-23: Serviço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Renan Kiyoshi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Revisor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 do Merge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12/06/2026</w:t>
            </w:r>
          </w:p>
        </w:tc>
      </w:tr>
    </w:tbl>
    <w:p>
      <w:pPr>
        <w:spacing w:after="160"/>
      </w:pPr>
    </w:p>
    <w:p>
      <w:pPr>
        <w:spacing w:after="120"/>
      </w:pPr>
      <w:r>
        <w:rPr>
          <w:rFonts w:ascii="Arial" w:cs="Arial" w:eastAsia="Arial" w:hAnsi="Arial"/>
          <w:sz w:val="20"/>
          <w:szCs w:val="20"/>
        </w:rPr>
        <w:t xml:space="preserve">Achados: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60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[Sem ação]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Validação de duplicidade (VerificarDuplicidade) corretamente chamada antes do INSERT — correto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[Melhoria resolvida]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Faltava tratamento de exceção específica para violação de FK ao excluir grupo com membros ativos → resolvido (Renan adicionou catch e retorno 409 Conflict)</w:t>
            </w:r>
          </w:p>
        </w:tc>
      </w:tr>
    </w:tbl>
    <w:p>
      <w:pPr>
        <w:spacing w:after="160"/>
      </w:pPr>
    </w:p>
    <w:p>
      <w:pPr>
        <w:pStyle w:val="Heading2"/>
        <w:spacing w:after="120" w:before="240"/>
      </w:pPr>
      <w:r>
        <w:rPr>
          <w:rFonts w:ascii="Arial" w:cs="Arial" w:eastAsia="Arial" w:hAnsi="Arial"/>
          <w:b/>
          <w:bCs/>
          <w:color w:val="2E75B6"/>
          <w:sz w:val="24"/>
          <w:szCs w:val="24"/>
        </w:rPr>
        <w:t xml:space="preserve">4.5 PR #15 — AG-24: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gridSpan w:val="2"/>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 #15 — AG-24: Endpoints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Autor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Revisor</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Data do Merge</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14/06/2026</w:t>
            </w:r>
          </w:p>
        </w:tc>
      </w:tr>
    </w:tbl>
    <w:p>
      <w:pPr>
        <w:spacing w:after="160"/>
      </w:pPr>
    </w:p>
    <w:p>
      <w:pPr>
        <w:spacing w:after="120"/>
      </w:pPr>
      <w:r>
        <w:rPr>
          <w:rFonts w:ascii="Arial" w:cs="Arial" w:eastAsia="Arial" w:hAnsi="Arial"/>
          <w:sz w:val="20"/>
          <w:szCs w:val="20"/>
        </w:rPr>
        <w:t xml:space="preserve">Achados: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Tipo</w:t>
            </w:r>
          </w:p>
        </w:tc>
        <w:tc>
          <w:tcPr>
            <w:tcW w:type="dxa" w:w="60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[Sem ação]</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Todos os 8 endpoints com [HttpGet]/[HttpPost] corretos e documentados via atributos Swagger — correto</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[Melhoria resolvida]</w:t>
            </w:r>
          </w:p>
        </w:tc>
        <w:tc>
          <w:tcPr>
            <w:tcW w:type="dxa" w:w="6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/excluirgrupo retornava 200 mesmo em falha silenciosa → resolvido (Henry adicionou verificação de retorno do service)</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5. Resumo das Revisões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600"/>
        <w:gridCol w:w="1626"/>
        <w:gridCol w:w="1600"/>
        <w:gridCol w:w="1400"/>
      </w:tblGrid>
      <w:tr>
        <w:tc>
          <w:tcPr>
            <w:tcW w:type="dxa" w:w="10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w:t>
            </w:r>
          </w:p>
        </w:tc>
        <w:tc>
          <w:tcPr>
            <w:tcW w:type="dxa" w:w="18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Autor</w:t>
            </w:r>
          </w:p>
        </w:tc>
        <w:tc>
          <w:tcPr>
            <w:tcW w:type="dxa" w:w="16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Revisor</w:t>
            </w:r>
          </w:p>
        </w:tc>
        <w:tc>
          <w:tcPr>
            <w:tcW w:type="dxa" w:w="162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Achados Totais</w:t>
            </w:r>
          </w:p>
        </w:tc>
        <w:tc>
          <w:tcPr>
            <w:tcW w:type="dxa" w:w="16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Achados Resolvidos</w:t>
            </w:r>
          </w:p>
        </w:tc>
        <w:tc>
          <w:tcPr>
            <w:tcW w:type="dxa" w:w="1400"/>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 #11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 #12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 #13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 #14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Renan Kiyoshi</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 #15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Henry Komatsu</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Aprovado</w:t>
            </w:r>
          </w:p>
        </w:tc>
      </w:tr>
      <w:tr>
        <w:tc>
          <w:tcPr>
            <w:tcW w:type="dxa" w:w="4400"/>
            <w:gridSpan w:val="3"/>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Total</w:t>
            </w:r>
          </w:p>
        </w:tc>
        <w:tc>
          <w:tcPr>
            <w:tcW w:type="dxa" w:w="1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100% resolvidos</w:t>
            </w:r>
          </w:p>
        </w:tc>
      </w:tr>
    </w:tbl>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6. Conclusão</w:t>
      </w:r>
    </w:p>
    <w:p>
      <w:pPr>
        <w:spacing w:after="120"/>
      </w:pPr>
      <w:r>
        <w:rPr>
          <w:rFonts w:ascii="Arial" w:cs="Arial" w:eastAsia="Arial" w:hAnsi="Arial"/>
          <w:sz w:val="20"/>
          <w:szCs w:val="20"/>
        </w:rPr>
        <w:t xml:space="preserve">Todas as 5 revisões técnicas foram concluídas com aprovação. Os 5 achados identificados foram corrigidos antes do merge. Nenhum defeito S1 ou S2 foi identificado nas revisões. O módulo AG-20 a AG-24 está tecnicamente aprovado para avançar às sprints subsequentes.</w:t>
      </w:r>
    </w:p>
    <w:p>
      <w:pPr>
        <w:spacing w:after="160"/>
      </w:pPr>
    </w:p>
    <w:p>
      <w:pPr>
        <w:pStyle w:val="Heading1"/>
        <w:pBdr>
          <w:bottom w:val="single" w:color="2E75B6" w:sz="6" w:space="4"/>
        </w:pBdr>
        <w:spacing w:after="160" w:before="320"/>
      </w:pPr>
      <w:r>
        <w:rPr>
          <w:rFonts w:ascii="Arial" w:cs="Arial" w:eastAsia="Arial" w:hAnsi="Arial"/>
          <w:b/>
          <w:bCs/>
          <w:color w:val="1F4E79"/>
          <w:sz w:val="28"/>
          <w:szCs w:val="28"/>
        </w:rPr>
        <w:t xml:space="preserve">7. Histórico de Revisões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31"/>
        <w:gridCol w:w="1697"/>
        <w:gridCol w:w="2706"/>
        <w:gridCol w:w="3492"/>
      </w:tblGrid>
      <w:tr>
        <w:tc>
          <w:tcPr>
            <w:tcW w:type="dxa" w:w="1131"/>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Versão</w:t>
            </w:r>
          </w:p>
        </w:tc>
        <w:tc>
          <w:tcPr>
            <w:tcW w:type="dxa" w:w="1697"/>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Data</w:t>
            </w:r>
          </w:p>
        </w:tc>
        <w:tc>
          <w:tcPr>
            <w:tcW w:type="dxa" w:w="2706"/>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Autor</w:t>
            </w:r>
          </w:p>
        </w:tc>
        <w:tc>
          <w:tcPr>
            <w:tcW w:type="dxa" w:w="3492"/>
            <w:gridSpan w:val="1"/>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Descrição</w:t>
            </w:r>
          </w:p>
        </w:tc>
      </w:tr>
      <w:tr>
        <w:tc>
          <w:tcPr>
            <w:tcW w:type="dxa" w:w="1131"/>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169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14/06/2026</w:t>
            </w:r>
          </w:p>
        </w:tc>
        <w:tc>
          <w:tcPr>
            <w:tcW w:type="dxa" w:w="27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Cézar Hiraki</w:t>
            </w:r>
          </w:p>
        </w:tc>
        <w:tc>
          <w:tcPr>
            <w:tcW w:type="dxa" w:w="34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Versão inicial — registro das 5 revisões técnicas das PRs #11 a #15</w:t>
            </w:r>
          </w:p>
        </w:tc>
      </w:tr>
    </w:tbl>
    <w:p>
      <w:pPr>
        <w:spacing w:after="160"/>
      </w:pPr>
    </w:p>
    <w:sectPr>
      <w:head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26"/>
      <w:gridCol w:w="3000"/>
    </w:tblGrid>
    <w:tr>
      <w:tc>
        <w:tcPr>
          <w:tcW w:type="dxa" w:w="6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REV-AASP01-001 — Registro de Revisão Técnica</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jc w:val="center"/>
          </w:pPr>
          <w:r>
            <w:rPr>
              <w:rFonts w:ascii="Arial" w:cs="Arial" w:eastAsia="Arial" w:hAnsi="Arial"/>
              <w:color w:val="FFFFFF"/>
              <w:sz w:val="18"/>
              <w:szCs w:val="18"/>
            </w:rPr>
            <w:t xml:space="preserve">Versão 1.0 | 14/06/2026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2026-06-15T17:30:10.390Z</dcterms:created>
  <dcterms:modified xsi:type="dcterms:W3CDTF">2026-06-15T17:30:10.391Z</dcterms:modified>
</cp:coreProperties>
</file>

<file path=docProps/custom.xml><?xml version="1.0" encoding="utf-8"?>
<Properties xmlns="http://schemas.openxmlformats.org/officeDocument/2006/custom-properties" xmlns:vt="http://schemas.openxmlformats.org/officeDocument/2006/docPropsVTypes"/>
</file>