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DE HOMOLOGAÇÃO EPROC/ESAJ E DEVOLUTIVA AOS ASSOCIADOS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CR-AASPAP01-001   ·   Versão 1.0   ·   20/05/2026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Incluir um escopo adicional de homologação da captura EPROC/ESAJ por amostragem e a devolutiva aos associados da AASP sobre o resultado em produção, durante as Fases 1–2.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Garantir a validação dos critérios de aceite em ambiente compartilhado (sem Elasticsearch dedicado) e dar retorno formal aos associados sobre o monitoramento dos processos.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homologação por amostragem + devolutiva aos associados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h, absorvidas na Fase 2 — sem impacto no prazo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atividade de validação reduz o risco de regressão (R-01)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GEST-AASPAP01 (aba Change Requests), na Matriz de Rastreabilidade (fluxo EPROC/ESAJ) e na baseline de configuração (GCO-AASPAP01-001). O esforço adicional foi absorvido na Fase 2, sem alteração do prazo final do projeto (ver RAC-AASPAP01-001).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CR-AASPAP01-001 (homologação EPROC/ESAJ e devolutiva),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