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4 (OBSERVACAO, SEGREDO, CODIGOFONTEAPI E TRATAMENTOS DE ERRO)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CR-AASPAP01-002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4, o tratamento de erros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),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), a atualização de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em múltiplas rotinas e 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 de retorno.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instância: um processo pode estar em segredo (ou falhar) em uma instância e não em outra, exigindo controle e registro de erro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RF07–RF09, RF11 e RF12 (erros por instância, segredo e desmembramento do RunUpdater; CodigoFonteAPI/RF10 entregue na Fase 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h; atraso de ~30 dias vs. prazo original da Fase 4, absorvido — deadline final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comportamento inconsistente das parceiras (R-02) e perda transitória no webhook (R-05)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§3.5; GDE-AASPAP01-001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GEST-AASPAP01 (aba Change Requests), na Matriz de Rastreabilidade (RF07–RF12) e na baseline de configuração (GCO-AASPAP01-001). O esforço adicional foi absorvido na Fase 4; o atraso de ~30 dias foi acordado com o cliente, mantido o deadline final (ver RAC-AASPAP01-001 e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CR-AASPAP01-002 (escopo adicional da Fase 4),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