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GQA-AASPAP01-001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(execução, Fases 1–4)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 A verificação foi conduzida em três marcos auditados em 08/06/2026: Fases 1–2 (10 itens), Fases 3–4 (11 itens) e consolidado do ciclo (21 itens), com 100% de conformidade nos 21 itens auditados; o item GCO-3 (auditoria de configuração de encerramento) permanece pendente por o projeto estar em execução.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REQ-AASPAP01-001; ATAs de alinhamento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(D01–D07)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(PR ≥ 1 revisor além do autor)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(refatoração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(Fase 5 — implantação)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(REG v1.0)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RF + 5 RNF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 / REV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 pendente (Fase 5 em andamento)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automatizados / pipeline de CI limitada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Avaliar automação de testes em ciclos futuros (lição aprendida)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auditados em 08/06/2026: 21/21 itens conformes (100%); item GCO-3 (auditoria de encerramento) pendente por o projeto estar em execução.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ao encerramento e à automação de testes)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de configuração de encerramento; ampliar cobertura de testes automatizados / CI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Referência ao processo de origem: EST-GPC-001 (estratégia de Garantia da Qualidade de Processo).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Garantia da Qualidade (GQA)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AASP_AndamentosProcessuais.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GQA-AASPAP01-001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