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DESIGN — AASP_ANDAMENTOSPROCESSUAIS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PCP-AASPAP01-001   ·   Versão 1.0   ·   22/12/2025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PCP-AASPAP01-001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AASP_AndamentosProcessuais — Refatoração da Solução de Captura de Andamentos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22/12/2025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Visão geral da solução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solução legada AndamentosProcessuais (.NET) é refatorada de forma cirúrgica em dois componentes coordenados: o </w:t>
      </w:r>
      <w:r>
        <w:rPr>
          <w:rFonts w:ascii="Calibri" w:hAnsi="Calibri"/>
          <w:b/>
          <w:i w:val="0"/>
          <w:sz w:val="22"/>
        </w:rPr>
        <w:t>CapturaServer</w:t>
      </w:r>
      <w:r>
        <w:rPr>
          <w:rFonts w:ascii="Calibri" w:hAnsi="Calibri"/>
          <w:b w:val="0"/>
          <w:i w:val="0"/>
          <w:sz w:val="22"/>
        </w:rPr>
        <w:t xml:space="preserve">, serviço Windows que passa a publicar os processos pendentes na fila unificada WorkerAndamentos (RabbitMQ) com o </w:t>
      </w:r>
      <w:r>
        <w:rPr>
          <w:rFonts w:ascii="Courier New" w:hAnsi="Courier New"/>
          <w:b w:val="0"/>
          <w:i w:val="0"/>
          <w:color w:val="333333"/>
          <w:sz w:val="20"/>
        </w:rPr>
        <w:t>SegmentoTribunal</w:t>
      </w:r>
      <w:r>
        <w:rPr>
          <w:rFonts w:ascii="Calibri" w:hAnsi="Calibri"/>
          <w:b w:val="0"/>
          <w:i w:val="0"/>
          <w:sz w:val="22"/>
        </w:rPr>
        <w:t xml:space="preserve">; e a </w:t>
      </w:r>
      <w:r>
        <w:rPr>
          <w:rFonts w:ascii="Calibri" w:hAnsi="Calibri"/>
          <w:b/>
          <w:i w:val="0"/>
          <w:sz w:val="22"/>
        </w:rPr>
        <w:t>API AndamentosProcessuais</w:t>
      </w:r>
      <w:r>
        <w:rPr>
          <w:rFonts w:ascii="Calibri" w:hAnsi="Calibri"/>
          <w:b w:val="0"/>
          <w:i w:val="0"/>
          <w:sz w:val="22"/>
        </w:rPr>
        <w:t xml:space="preserve">, que recebe os dados capturados via webhook multi-fonte, serializa para </w:t>
      </w:r>
      <w:r>
        <w:rPr>
          <w:rFonts w:ascii="Courier New" w:hAnsi="Courier New"/>
          <w:b w:val="0"/>
          <w:i w:val="0"/>
          <w:color w:val="333333"/>
          <w:sz w:val="20"/>
        </w:rPr>
        <w:t>IModelElastic</w:t>
      </w:r>
      <w:r>
        <w:rPr>
          <w:rFonts w:ascii="Calibri" w:hAnsi="Calibri"/>
          <w:b w:val="0"/>
          <w:i w:val="0"/>
          <w:sz w:val="22"/>
        </w:rPr>
        <w:t>, indexa no Elasticsearch e atualiza as tabelas de controle. O design atende à unificação de fila (RF01), ao suporte multi-fonte (RF02), ao histórico de movimentações por instância (RF03, RF04), ao desligamento nas parceiras (RF05, RF06), ao tratamento de erros e segredo por instância (RF07–RF11) e à priorização de retorno (RF12), preservando a retrocompatibilidade do fluxo existente (RNF01).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Design técnico (arquitetura) — sempre aplicável</w:t>
      </w:r>
    </w:p>
    <w:p>
      <w:pPr>
        <w:pStyle w:val="Heading2"/>
        <w:keepNext/>
        <w:keepLines/>
      </w:pPr>
      <w:r>
        <w:t>2.1. Arquitetura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refatoração evolui a solução legada em camadas (API .NET + CapturaServer + workers) sem reescrita. O roteamento por fonte é feito pelo campo </w:t>
      </w:r>
      <w:r>
        <w:rPr>
          <w:rFonts w:ascii="Courier New" w:hAnsi="Courier New"/>
          <w:b w:val="0"/>
          <w:i w:val="0"/>
          <w:color w:val="333333"/>
          <w:sz w:val="20"/>
        </w:rPr>
        <w:t>CodigoFonteAPI</w:t>
      </w:r>
      <w:r>
        <w:rPr>
          <w:rFonts w:ascii="Calibri" w:hAnsi="Calibri"/>
          <w:b w:val="0"/>
          <w:i w:val="0"/>
          <w:sz w:val="22"/>
        </w:rPr>
        <w:t>, e o histórico de movimentações é mantido por inativação de registros (nunca por sobrescrita).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CapturaServer (Serviço Windows):</w:t>
      </w:r>
      <w:r>
        <w:rPr>
          <w:rFonts w:ascii="Calibri" w:hAnsi="Calibri"/>
          <w:b w:val="0"/>
          <w:i w:val="0"/>
          <w:sz w:val="22"/>
        </w:rPr>
        <w:t xml:space="preserve"> identifica processos pendentes de captura e publica na fila unificada </w:t>
      </w:r>
      <w:r>
        <w:rPr>
          <w:rFonts w:ascii="Calibri" w:hAnsi="Calibri"/>
          <w:b/>
          <w:i w:val="0"/>
          <w:sz w:val="22"/>
        </w:rPr>
        <w:t>WorkerAndamentos</w:t>
      </w:r>
      <w:r>
        <w:rPr>
          <w:rFonts w:ascii="Calibri" w:hAnsi="Calibri"/>
          <w:b w:val="0"/>
          <w:i w:val="0"/>
          <w:sz w:val="22"/>
        </w:rPr>
        <w:t xml:space="preserve"> do RabbitMQ, com NUP e </w:t>
      </w:r>
      <w:r>
        <w:rPr>
          <w:rFonts w:ascii="Courier New" w:hAnsi="Courier New"/>
          <w:b w:val="0"/>
          <w:i w:val="0"/>
          <w:color w:val="333333"/>
          <w:sz w:val="20"/>
        </w:rPr>
        <w:t>SegmentoTribunal</w:t>
      </w:r>
      <w:r>
        <w:rPr>
          <w:rFonts w:ascii="Calibri" w:hAnsi="Calibri"/>
          <w:b w:val="0"/>
          <w:i w:val="0"/>
          <w:sz w:val="22"/>
        </w:rPr>
        <w:t>, independente do tribunal de origem. Migração da fila anterior (</w:t>
      </w:r>
      <w:r>
        <w:rPr>
          <w:rFonts w:ascii="Courier New" w:hAnsi="Courier New"/>
          <w:b w:val="0"/>
          <w:i w:val="0"/>
          <w:color w:val="333333"/>
          <w:sz w:val="20"/>
        </w:rPr>
        <w:t>EprocTjsp</w:t>
      </w:r>
      <w:r>
        <w:rPr>
          <w:rFonts w:ascii="Calibri" w:hAnsi="Calibri"/>
          <w:b w:val="0"/>
          <w:i w:val="0"/>
          <w:sz w:val="22"/>
        </w:rPr>
        <w:t>) para a fila única (decisão D02).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API AndamentosProcessuais (webhook multi-fonte):</w:t>
      </w:r>
      <w:r>
        <w:rPr>
          <w:rFonts w:ascii="Calibri" w:hAnsi="Calibri"/>
          <w:b w:val="0"/>
          <w:i w:val="0"/>
          <w:sz w:val="22"/>
        </w:rPr>
        <w:t xml:space="preserve"> recebe os dados de qualquer fonte (EPROC/ESAJ, DataJud/CNJ) sem campos fixos por tribunal (decisão D03), serializa para </w:t>
      </w:r>
      <w:r>
        <w:rPr>
          <w:rFonts w:ascii="Courier New" w:hAnsi="Courier New"/>
          <w:b w:val="0"/>
          <w:i w:val="0"/>
          <w:color w:val="333333"/>
          <w:sz w:val="20"/>
        </w:rPr>
        <w:t>IModelElastic</w:t>
      </w:r>
      <w:r>
        <w:rPr>
          <w:rFonts w:ascii="Calibri" w:hAnsi="Calibri"/>
          <w:b w:val="0"/>
          <w:i w:val="0"/>
          <w:sz w:val="22"/>
        </w:rPr>
        <w:t xml:space="preserve"> e indexa no Elasticsearch. Atualiza </w:t>
      </w:r>
      <w:r>
        <w:rPr>
          <w:rFonts w:ascii="Courier New" w:hAnsi="Courier New"/>
          <w:b w:val="0"/>
          <w:i w:val="0"/>
          <w:color w:val="333333"/>
          <w:sz w:val="20"/>
        </w:rPr>
        <w:t>ProcessoCaptura</w:t>
      </w:r>
      <w:r>
        <w:rPr>
          <w:rFonts w:ascii="Calibri" w:hAnsi="Calibri"/>
          <w:b w:val="0"/>
          <w:i w:val="0"/>
          <w:sz w:val="22"/>
        </w:rPr>
        <w:t xml:space="preserve"> (incl. </w:t>
      </w:r>
      <w:r>
        <w:rPr>
          <w:rFonts w:ascii="Courier New" w:hAnsi="Courier New"/>
          <w:b w:val="0"/>
          <w:i w:val="0"/>
          <w:color w:val="333333"/>
          <w:sz w:val="20"/>
        </w:rPr>
        <w:t>CodigoFonteAPI</w:t>
      </w:r>
      <w:r>
        <w:rPr>
          <w:rFonts w:ascii="Calibri" w:hAnsi="Calibri"/>
          <w:b w:val="0"/>
          <w:i w:val="0"/>
          <w:sz w:val="22"/>
        </w:rPr>
        <w:t xml:space="preserve">), gerencia o histórico em </w:t>
      </w:r>
      <w:r>
        <w:rPr>
          <w:rFonts w:ascii="Courier New" w:hAnsi="Courier New"/>
          <w:b w:val="0"/>
          <w:i w:val="0"/>
          <w:color w:val="333333"/>
          <w:sz w:val="20"/>
        </w:rPr>
        <w:t>ProcessoCapturaMovimentacaoStatus</w:t>
      </w:r>
      <w:r>
        <w:rPr>
          <w:rFonts w:ascii="Calibri" w:hAnsi="Calibri"/>
          <w:b w:val="0"/>
          <w:i w:val="0"/>
          <w:sz w:val="22"/>
        </w:rPr>
        <w:t xml:space="preserve"> e o controle por instância em </w:t>
      </w:r>
      <w:r>
        <w:rPr>
          <w:rFonts w:ascii="Courier New" w:hAnsi="Courier New"/>
          <w:b w:val="0"/>
          <w:i w:val="0"/>
          <w:color w:val="333333"/>
          <w:sz w:val="20"/>
        </w:rPr>
        <w:t>ProcessoCapturaLogin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urier New" w:hAnsi="Courier New"/>
          <w:b w:val="0"/>
          <w:i w:val="0"/>
          <w:color w:val="333333"/>
          <w:sz w:val="20"/>
        </w:rPr>
        <w:t>Observacao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Segredo</w:t>
      </w:r>
      <w:r>
        <w:rPr>
          <w:rFonts w:ascii="Calibri" w:hAnsi="Calibri"/>
          <w:b w:val="0"/>
          <w:i w:val="0"/>
          <w:sz w:val="22"/>
        </w:rPr>
        <w:t xml:space="preserve">). Após captura via CNJ, aciona a verificação e o desligamento do NUP nas APIs parceiras pela camada da API (decisão D05), via controladores específicos por parceira (decisão D06). O </w:t>
      </w:r>
      <w:r>
        <w:rPr>
          <w:rFonts w:ascii="Courier New" w:hAnsi="Courier New"/>
          <w:b w:val="0"/>
          <w:i w:val="0"/>
          <w:color w:val="333333"/>
          <w:sz w:val="20"/>
        </w:rPr>
        <w:t>RunUpdater</w:t>
      </w:r>
      <w:r>
        <w:rPr>
          <w:rFonts w:ascii="Calibri" w:hAnsi="Calibri"/>
          <w:b w:val="0"/>
          <w:i w:val="0"/>
          <w:sz w:val="22"/>
        </w:rPr>
        <w:t xml:space="preserve"> foi desmembrado para priorizar os retornos por tipo de resultado (RF12).</w:t>
      </w:r>
    </w:p>
    <w:p>
      <w:pPr>
        <w:pStyle w:val="Heading2"/>
        <w:keepNext/>
        <w:keepLines/>
      </w:pPr>
      <w:r>
        <w:t>2.2. Modelo de dados (tabelas de controle)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Tabela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global do processo e a fonte de captura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CodigoFonteAPI</w:t>
            </w:r>
            <w:r>
              <w:rPr>
                <w:rFonts w:ascii="Calibri" w:hAnsi="Calibri"/>
                <w:b w:val="0"/>
                <w:i w:val="0"/>
                <w:sz w:val="20"/>
              </w:rPr>
              <w:t>); recebe status 3 em erro parcial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ProcessoCapturaLogin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Status de captura por instância,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Observacao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(erro),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Segredo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códigos de status/resposta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ProcessoCapturaMovimentacaoStatus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Histórico de movimentações por instância,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Ativo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DataUltimaAtualizacao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(inativação + novo registro)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2.3. Integrações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Detalhamento em ITP-AASPAP01-001. Resumo: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 / Serviço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RabbitMQ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Message broker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Fila unificada WorkerAndamentos (NUP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SegmentoTribunal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DataJud — CNJ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Fonte de captura universal (consumida via WorkerAndamentos)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EPROC/ESAJ (TJSP)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Portal judicial (crawler)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Fonte de captura do TJSP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Elasticsearch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Motor de busca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Armazenamento dos andamentos para o front-end da AASP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SQL Server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Banco de dados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Persistência das tabelas de controle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Parceiras (Solucionário, Botmax)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REST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e desligamento de NUP após captura via CNJ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2.4. Decisões de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Alternativas consideradas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Escolha e justificativa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RAD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Primeiro entregável (D01, Dez/2025)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Alterar fluxo legado; webhook dedicado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Webhook de indexação específico para EPROC/ESAJ — viabiliza captura nativa TJSP sem regressão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GDE-AASPAP01-001 (D01)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Ponto de entrada do pipeline (D02, Fev/2026)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Fila por tribunal; fila única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Migrar CapturaServer para a fila única WorkerAndamentos — unifica o pipeline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GDE-AASPAP01-001 (D02)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Webhook multi-fonte (D03, Abr/2026)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Novo webhook; parametrizar o existente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Parametrizar o webhook — evita duplicação e reduz manutenção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GDE-AASPAP01-001 (D03)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de movimentações (D04, Abr/2026)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Update no registro; inativação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Inativação de registro (não update) — preserva histórico por instância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GDE-AASPAP01-001 (D04)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Onde tratar parceiras (D05, Abr/2026)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 worker; na API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Verificação/desligamento na camada da API — worker agnóstico; controladores já existem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GDE-AASPAP01-001 (D05)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Parceiras heterogêneas (D06, Mai/2026)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Controlador genérico; por parceira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Controladores específicos por parceira (Solucionário, Botmax) com interface comum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GDE-AASPAP01-001 (D06)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do segredo (D07, Mai/2026)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 processo; por instância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Segredo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por instância — um processo pode ser segredo só em uma instância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GDE-AASPAP01-001 (D07)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Design de produto (UX/UI) — não aplicável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Projeto de back-end/refatoração, sem interface de usuário. Conforme o registro do projeto, o design de UX/UI não se aplica.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Rastreabilidade requisito →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(ID)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Elemento de design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CapturaServer — enfileiramento unificado RabbitMQ (fila WorkerAndamentos)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RF02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Webhook multi-fonte parametrizado (sem campos fixos por tribunal)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RF03, RF04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Histórico por inativação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ProcessoCapturaMovimentacaoStatus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RF05, RF06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Verificação/desligamento nas parceiras (controladores por parceira)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RF07, RF08, RF09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Observacao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códigos de status/resposta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ProcessoCapturaLogin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RF10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CodigoFonteAPI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Segredo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por instância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ProcessoCapturaLogin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RF12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Desmembramento do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RunUpdater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(priorização por tipo de retorno)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Matriz completa em RASTR-AASPAP01-001.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Avaliação do design (PCP 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avaliado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Avaliador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Problema encontrado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Tratamento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Webhook multi-fonte com campos do TJSP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desenvolvimento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Campos do modelo com dados do TJSP fixos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Parametrização dos campos do modelo (BUG-01)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Alinhamento de campos CNJ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IModelElastic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Mapeamento dos campos CNJ ao modelo Elastic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 do mapeamento (Abr/2026)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de movimentações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Velázquez / Raony Chagas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Risco de perda de histórico em update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Modelo por inativação de registro (D04)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decisão pela parametrização do webhook e pelo histórico por inativação foi formalizada nas reuniões de alinhamento de 07/04/2026 e 08/05/2026.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Evidências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andamentos_arquitetura.svg</w:t>
      </w:r>
      <w:r>
        <w:rPr>
          <w:rFonts w:ascii="Calibri" w:hAnsi="Calibri"/>
          <w:b w:val="0"/>
          <w:i w:val="0"/>
          <w:sz w:val="22"/>
        </w:rPr>
        <w:t xml:space="preserve"> — Arquitetura da solução refatorada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andamentos_ApisParceiras.jpg</w:t>
      </w:r>
      <w:r>
        <w:rPr>
          <w:rFonts w:ascii="Calibri" w:hAnsi="Calibri"/>
          <w:b w:val="0"/>
          <w:i w:val="0"/>
          <w:sz w:val="22"/>
        </w:rPr>
        <w:t xml:space="preserve"> — Integração com APIs parceiras (Solucionário/Botmax)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andamentos_historicoPreservado.jpeg</w:t>
      </w:r>
      <w:r>
        <w:rPr>
          <w:rFonts w:ascii="Calibri" w:hAnsi="Calibri"/>
          <w:b w:val="0"/>
          <w:i w:val="0"/>
          <w:sz w:val="22"/>
        </w:rPr>
        <w:t xml:space="preserve"> — Histórico de movimentações preservado por inativação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andamentos_historicoPreservado1.jpg</w:t>
      </w:r>
      <w:r>
        <w:rPr>
          <w:rFonts w:ascii="Calibri" w:hAnsi="Calibri"/>
          <w:b w:val="0"/>
          <w:i w:val="0"/>
          <w:sz w:val="22"/>
        </w:rPr>
        <w:t xml:space="preserve"> — Histórico preservado — detalhe 1</w:t>
      </w:r>
    </w:p>
    <w:p>
      <w:pPr>
        <w:pStyle w:val="ListBullet"/>
        <w:spacing w:before="20" w:after="40"/>
      </w:pPr>
      <w:r>
        <w:rPr>
          <w:rFonts w:ascii="Courier New" w:hAnsi="Courier New"/>
          <w:b w:val="0"/>
          <w:i w:val="0"/>
          <w:color w:val="333333"/>
          <w:sz w:val="20"/>
        </w:rPr>
        <w:t>andamentos_historicoPreservado2.jpg</w:t>
      </w:r>
      <w:r>
        <w:rPr>
          <w:rFonts w:ascii="Calibri" w:hAnsi="Calibri"/>
          <w:b w:val="0"/>
          <w:i w:val="0"/>
          <w:sz w:val="22"/>
        </w:rPr>
        <w:t xml:space="preserve"> — Histórico preservado — detalhe 2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22/12/2025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Equipe Técnica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 consolidado a partir do Registro de Projeto AASP_AndamentosProcessuais, do GEST-AASPAP01 e do GDE-AASPAP01-001.</w:t>
            </w:r>
          </w:p>
        </w:tc>
      </w:tr>
    </w:tbl>
    <w:p>
      <w:pPr>
        <w:spacing w:before="0" w:after="160"/>
      </w:pPr>
    </w:p>
    <w:p>
      <w:pPr>
        <w:pStyle w:val="Heading1"/>
      </w:pPr>
      <w:r>
        <w:t>Evidências (anexos)</w:t>
      </w:r>
    </w:p>
    <w:p>
      <w:r>
        <w:t>Arquitetura da solução refatorada</w:t>
      </w:r>
    </w:p>
    <w:p>
      <w:r>
        <w:t>[anexo não-imagem: andamentos_arquitetura.svg — ver pasta evidencias/]</w:t>
      </w:r>
    </w:p>
    <w:p>
      <w:r>
        <w:t>Integração com APIs parceiras (Solucionário/Botmax)</w:t>
      </w:r>
    </w:p>
    <w:p>
      <w:r>
        <w:drawing>
          <wp:inline xmlns:a="http://schemas.openxmlformats.org/drawingml/2006/main" xmlns:pic="http://schemas.openxmlformats.org/drawingml/2006/picture">
            <wp:extent cx="5400000" cy="3923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amentos_ApisParceira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23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Histórico de movimentações preservado por inativação</w:t>
      </w:r>
    </w:p>
    <w:p>
      <w:r>
        <w:drawing>
          <wp:inline xmlns:a="http://schemas.openxmlformats.org/drawingml/2006/main" xmlns:pic="http://schemas.openxmlformats.org/drawingml/2006/picture">
            <wp:extent cx="5400000" cy="48269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amentos_historicoPreservado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26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Histórico preservado — detalhe 1</w:t>
      </w:r>
    </w:p>
    <w:p>
      <w:r>
        <w:drawing>
          <wp:inline xmlns:a="http://schemas.openxmlformats.org/drawingml/2006/main" xmlns:pic="http://schemas.openxmlformats.org/drawingml/2006/picture">
            <wp:extent cx="5400000" cy="82613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amentos_historicoPreservado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261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Histórico preservado — detalhe 2</w:t>
      </w:r>
    </w:p>
    <w:p>
      <w:r>
        <w:drawing>
          <wp:inline xmlns:a="http://schemas.openxmlformats.org/drawingml/2006/main" xmlns:pic="http://schemas.openxmlformats.org/drawingml/2006/picture">
            <wp:extent cx="5400000" cy="9891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amentos_historicoPreservado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8913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API REST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API REST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PCP-AASPAP01-001</w:t>
    </w:r>
    <w:r>
      <w:tab/>
    </w:r>
    <w:r>
      <w:rPr>
        <w:rFonts w:ascii="Calibri" w:hAnsi="Calibri"/>
        <w:color w:val="555555"/>
        <w:sz w:val="18"/>
      </w:rPr>
      <w:t>Projeto e Construção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jpg"/><Relationship Id="rId14" Type="http://schemas.openxmlformats.org/officeDocument/2006/relationships/image" Target="media/image2.jpeg"/><Relationship Id="rId15" Type="http://schemas.openxmlformats.org/officeDocument/2006/relationships/image" Target="media/image3.jpg"/><Relationship Id="rId16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