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MATRIZ DE RASTREABILIDADE — AASP_ANDAMENTOSPROCESSUAIS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RASTR-AASPAP01-001   ·   Versão 1.0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RASTR-AASPAP01-001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AASP_AndamentosProcessuais — Refatoração da Solução de Captura de Andamentos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Matriz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Rastreabilidade bidirecional: de cada requisito à tarefa de implementação, ao item de design (PCP), à fonte/componente e ao cenário de teste (CT) que o verifica.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(ID)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Tarefa (GEST)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design (PCP)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 / tabela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 de teste (CT)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T-01..T-04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Enfileiramento unificado RabbitMQ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CapturaServer / fila WorkerAndamentos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CT-02, CT-03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T-08, T-09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Webhook multi-fonte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AndamentosProcessuais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por inativação de registro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ProcessoCapturaMovimentacaoStatus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Atualização de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DataUltimaAtualizacao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ProcessoCapturaMovimentacaoStatus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Verificação/desligamento nas parceiras (camada API)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Controladores Solucionário/Botmax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 de desligamento por parceira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Tabelas de cadastro das parceiras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T-14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Observacao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por instância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ProcessoCapturaLogin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T-16, T-17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de erro parcial (status 3)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ProcessoCapturaLogin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r>
              <w:t>T-19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de NUP inválido (status 8 / resposta 10)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ProcessoCapturaLogin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T-12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CodigoFonteAPI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T-14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Segredo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por instância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ProcessoCapturaLogin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T-13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Desmembramento do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RunUpdater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(priorização)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AndamentosProcessuais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Atendido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Cobertura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Requisitos sem cobertura de teste:</w:t>
      </w:r>
      <w:r>
        <w:rPr>
          <w:rFonts w:ascii="Calibri" w:hAnsi="Calibri"/>
          <w:b w:val="0"/>
          <w:i w:val="0"/>
          <w:sz w:val="22"/>
        </w:rPr>
        <w:t xml:space="preserve"> nenhum — todos os RF01–RF12 têm cenário de teste (CT-01 a CT-12) associado, todos 100% aprovados (ver V&amp;V — Testes da GEST-AASPAP01).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Itens desenvolvidos sem requisito associado:</w:t>
      </w:r>
      <w:r>
        <w:rPr>
          <w:rFonts w:ascii="Calibri" w:hAnsi="Calibri"/>
          <w:b w:val="0"/>
          <w:i w:val="0"/>
          <w:sz w:val="22"/>
        </w:rPr>
        <w:t xml:space="preserve"> as tarefas T-05 (homologação) e T-16/T-17 (testes e correção de bugs) referem-se a V&amp;V; T-06, T-07 e T-18 são atividades de comunicação/entrega — nenhuma feature de produto sem requisito de origem.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Requisitos não funcionais (RNF01–RNF05)</w:t>
      </w:r>
      <w:r>
        <w:rPr>
          <w:rFonts w:ascii="Calibri" w:hAnsi="Calibri"/>
          <w:b w:val="0"/>
          <w:i w:val="0"/>
          <w:sz w:val="22"/>
        </w:rPr>
        <w:t xml:space="preserve"> verificados de forma transversal: RNF01 nos testes de regressão EPROC/ESAJ (CT-12); RNF02 no design das tabelas de controle; RNF03 no webhook parametrizável (CT-04); RNF04 no mecanismo de retry (T-15); RNF05 no histórico por inativação (CT-05).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Defeitos: 5 bugs identificados em homologação (BUG-01 na Fase 3; BUG-02 a BUG-05 na Fase 4), 100% contidos antes da implantação; 0 defeitos escapados para produção (validação em homologação).</w:t>
      </w:r>
      <w:r>
        <w:rPr>
          <w:rFonts w:ascii="Calibri" w:hAnsi="Calibri"/>
          <w:b w:val="0"/>
          <w:i w:val="0"/>
          <w:sz w:val="22"/>
        </w:rPr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Equipe Técnica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Matriz de rastreabilidade consolidada a partir do Registro de Projeto AASP_AndamentosProcessuais e da Planilha de Gestão (abas Backlog, Tarefas e V&amp;V — Testes).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RASTR-AASPAP01-001</w:t>
    </w:r>
    <w:r>
      <w:tab/>
    </w:r>
    <w:r>
      <w:rPr>
        <w:rFonts w:ascii="Calibri" w:hAnsi="Calibri"/>
        <w:color w:val="555555"/>
        <w:sz w:val="18"/>
      </w:rPr>
      <w:t>Engenharia de Requisitos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