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REQ-AASPAP01-001   ·   Versão 1.0   ·   18/12/2025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oferece a seus associados uma plataforma centralizada de monitoramento de processos judiciais. A Timeware opera a solução legada de captura de andamentos (API AndamentosProcessuais + CapturaServer), em .NET, com cerca de 20 anos de operação. Com a adoção do novo modelo de captura via DataJud/CNJ e WorkerAndamentos (projeto irmão AASP_CNJ), a solução existente precisa ser refatorada de forma cirúrgica para suportar fila unificada, webhook multi-fonte, histórico de movimentações por instância, desligamento dos processos nas APIs parceiras e controle de erros e segredo de justiça por instância — tudo sem interromper a operação em produção. O objetivo deste documento é registrar os requisitos funcionais (RF01–RF12) e não funcionais (RNF01–RNF05) que delimitam essa refatoração.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 principal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Associados da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confiável e atualizado dos andamentos em todos os tribunais, sem regressão durante a transição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/ PO — 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Refatoração controlada da solução legada, suporte ao novo modelo CNJ e aceite por fase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Timeware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estados, parametrização para novas fontes e preservação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Refatoração delimitada de dois componentes em produção: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(serviço Windows que passa a publicar na fila unificada WorkerAndamentos no RabbitMQ,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 (webhook de indexação parametrizado para múltiplas fontes, controle de movimentações por instância, verificação/desligamento nas APIs parceiras e tratamento de erros e segredo por instância). Projeto de back-end/refatoração, </w:t>
      </w:r>
      <w:r>
        <w:rPr>
          <w:rFonts w:ascii="Calibri" w:hAnsi="Calibri"/>
          <w:b/>
          <w:i w:val="0"/>
          <w:sz w:val="22"/>
        </w:rPr>
        <w:t>sem interface de usuário</w:t>
      </w:r>
      <w:r>
        <w:rPr>
          <w:rFonts w:ascii="Calibri" w:hAnsi="Calibri"/>
          <w:b w:val="0"/>
          <w:i w:val="0"/>
          <w:sz w:val="22"/>
        </w:rPr>
        <w:t xml:space="preserve"> (UX/UI não aplicável). O restante da solução AndamentosProcessuais permanece inalterado.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publica mensagens na fila WorkerAndamentos (RabbitMQ), independente do tribunal de 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multi-fonte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aceita dados de qualquer fonte de captura, sem campos fixos por tribunal específico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, com inativação do registro anterior e criação de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incremental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registro ativo mesmo sem novas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verificar as APIs parceiras e acionar a exclusão do NUP se estiver cadastrado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do desligamento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 resultado do desligamento nas tabelas de cadastro de cada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registra o detalhe do erro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status 3 e apenas a instância afetada é marcada individualmente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=8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</w:t>
            </w:r>
            <w:r>
              <w:rPr>
                <w:rFonts w:ascii="Calibri" w:hAnsi="Calibri"/>
                <w:b w:val="0"/>
                <w:i w:val="0"/>
                <w:sz w:val="20"/>
              </w:rPr>
              <w:t>=10 em todas as instâncias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(via CNJ ou EPROC/ESAJ)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executar priorizações de retorno por tipo de 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Refatorações não interrompem o fluxo de captura existente durante a transição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sem regressão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 estado de processamento registrado nas tabelas de controle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Data, status e observação de erro quando aplicável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parametrizável para novas fontes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alteração na camada de serialização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Retry no envio do 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Não-perda de dados em falhas transitórias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preservado integralmente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sobrescrita de registros anteriores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 e premissas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Alterações cirúrgicas: o restante da solução AndamentosProcessuais permanece inalterado, sem reescrita do sistema legado.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Sem migração de dados no Elasticsearch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por amostragem, em ambiente compartilhado com o projeto AASP_CNJ; sem Elasticsearch dedicado para testes.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(.NET) e as tabelas de controle em SQL Server permanecem disponíveis durante a refatoração.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é consumida via WorkerAndamentos (projeto irmão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Requisito/conjunto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 fila RabbitMQ (RF01)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em ambiente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(CT-01 a CT-03)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e movimentações (RF02–RF06, RF10)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fluxo da 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(CT-04 a CT-07)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erros e segredo (RF07–RF09, RF11, RF12)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E2E e de regressão da 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(CT-08 a CT-12)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e compromisso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1–2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(Sponsor / 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das entregas das Fases 3–4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técnico assumido no alinhamento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18/12/2025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consolidado a partir do Registro de Projeto AASP_AndamentosProcessuais (REG-AASPAP01-001) e da Planilha de Gestão (aba Backlog).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