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PCP-AASP01-001   ·   Versão 1.1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Usuarios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Associacao dos Advogados de Sao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(evidencia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Visao geral da solucao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microsservico </w:t>
      </w:r>
      <w:r>
        <w:rPr>
          <w:rFonts w:ascii="Calibri" w:hAnsi="Calibri"/>
          <w:b/>
          <w:i w:val="0"/>
          <w:sz w:val="22"/>
        </w:rPr>
        <w:t>ms.auxo.gruposusuarios</w:t>
      </w:r>
      <w:r>
        <w:rPr>
          <w:rFonts w:ascii="Calibri" w:hAnsi="Calibri"/>
          <w:b w:val="0"/>
          <w:i w:val="0"/>
          <w:sz w:val="22"/>
        </w:rPr>
        <w:t xml:space="preserve"> e uma Web API RESTful desenvolvida em .NET Framework 4.7.2 com Dapper como ORM e SQL Server (banco principal auxo3) como banco de dados. Integra-se ao microsservico </w:t>
      </w:r>
      <w:r>
        <w:rPr>
          <w:rFonts w:ascii="Calibri" w:hAnsi="Calibri"/>
          <w:b/>
          <w:i w:val="0"/>
          <w:sz w:val="22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(banco temis3) via HTTP REST para sincronizacao de vinculos de usuarios.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solucao provem funcionalidades completas de gestao de grupos de usuarios do sistema Gerenciador da AASP, incluindo: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CRUD de grupos</w:t>
      </w:r>
      <w:r>
        <w:rPr>
          <w:rFonts w:ascii="Calibri" w:hAnsi="Calibri"/>
          <w:b w:val="0"/>
          <w:i w:val="0"/>
          <w:sz w:val="22"/>
        </w:rPr>
        <w:t>: criacao, listagem, busca por ID, atualizacao e remocao logica (soft delete) de grupos.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Controle de permissoes RBAC</w:t>
      </w:r>
      <w:r>
        <w:rPr>
          <w:rFonts w:ascii="Calibri" w:hAnsi="Calibri"/>
          <w:b w:val="0"/>
          <w:i w:val="0"/>
          <w:sz w:val="22"/>
        </w:rPr>
        <w:t>: definicao e alteracao das permissoes associadas a cada grupo (Leitura, Escrita, Exclusao, Administracao, Relatorio).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Vinculo usuario-grupo</w:t>
      </w:r>
      <w:r>
        <w:rPr>
          <w:rFonts w:ascii="Calibri" w:hAnsi="Calibri"/>
          <w:b w:val="0"/>
          <w:i w:val="0"/>
          <w:sz w:val="22"/>
        </w:rPr>
        <w:t>: associacao e desassociacao de usuarios a grupos, com propagacao automatica ao ms.temis.vinculos.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Auditoria e log</w:t>
      </w:r>
      <w:r>
        <w:rPr>
          <w:rFonts w:ascii="Calibri" w:hAnsi="Calibri"/>
          <w:b w:val="0"/>
          <w:i w:val="0"/>
          <w:sz w:val="22"/>
        </w:rPr>
        <w:t>: registro automatico de todas as operacoes criticas (CREATE, UPDATE, DELETE, ADD_USER, REMOVE_USER) na tabela AuditoriaGrupos.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Relatorios</w:t>
      </w:r>
      <w:r>
        <w:rPr>
          <w:rFonts w:ascii="Calibri" w:hAnsi="Calibri"/>
          <w:b w:val="0"/>
          <w:i w:val="0"/>
          <w:sz w:val="22"/>
        </w:rPr>
        <w:t>: endpoint consolidado para exportacao de dados de grupos e usuarios para fins gerenciais.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API segue o padrao arquitetural estabelecido no sistema Gerenciador da AASP, utilizando autenticacao via JWT Bearer Token e expondo documentacao interativa via Swagger/OpenAPI.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Arquitetura da solucao</w:t>
      </w:r>
    </w:p>
    <w:p>
      <w:pPr>
        <w:pStyle w:val="Heading2"/>
        <w:keepNext/>
        <w:keepLines/>
      </w:pPr>
      <w:r>
        <w:t>2.1 Stack tecnologico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Tecnologia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Framework de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ASP.NET Web API (.NET Framework 4.7.2)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Padrao do projeto Gerenciador AASP; compatibilidade com infraestrutura existente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 / Acesso a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2.x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 GDE-AASP01-001 (GDE-001) — compatibilidade com .NET FW 4.7.2, performance superior ao EF Core em queries complexas, padrao ja adotado no projeto Gerenciador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principal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—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existente do sistema Gerenciador da AASP; tabelas do modulo criadas via migrations versionadas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integracao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— banco temis3 (acesso indireto via ms.temis.vinculos)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do microsservico de vinculos; acesso exclusivamente via HTTP REST, nunca por query direta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Integracao externa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 — ms.temis.vinculos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 GDE e ITP-AASP01-001; desacoplamento entre dominios, contrato de API versionado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Padrao do Gerenciador AASP; tokens emitidos pelo servico de autenticacao central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Documentacao de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/ OpenAPI (Swashbuckle)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Gerado automaticamente a partir das anotacoes do codigo; validado em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Pipelines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Padrao Timeware; pipeline automatiza build, testes e analise estatica a cada PR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(Azure DevOps) — Git Flow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Padrao Timeware; rastreabilidade completa de mudancas por feature e sprint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Diagrama de camadas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Controllers (API)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 · /grupos/{id} · etc.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Services / UseCases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GrupoService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PermissaoService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VinculoService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RelatorioService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Repositories (Dapper Queries)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GrupoRepository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PermissaoRepository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VinculoRepository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AuditoriaRepository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SQL Server -- banco auxo3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PermissoesGrupo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UsuariosGrupo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AuditoriaGrupos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HTTP REST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ms.temis.vinculos (banco temis3)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Descricao das camadas: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Controllers</w:t>
      </w:r>
      <w:r>
        <w:rPr>
          <w:rFonts w:ascii="Calibri" w:hAnsi="Calibri"/>
          <w:b w:val="0"/>
          <w:i w:val="0"/>
          <w:sz w:val="22"/>
        </w:rPr>
        <w:t>: recebem requisicoes HTTP, validam o modelo de entrada (DataAnnotations), delegam ao Service correspondente e retornam responses padronizados (200/201/400/404/500). Nenhuma logica de negocio nos controllers.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Services / UseCases</w:t>
      </w:r>
      <w:r>
        <w:rPr>
          <w:rFonts w:ascii="Calibri" w:hAnsi="Calibri"/>
          <w:b w:val="0"/>
          <w:i w:val="0"/>
          <w:sz w:val="22"/>
        </w:rPr>
        <w:t>: contem toda a logica de negocio — validacoes de dominio, orquestracao de chamadas a repositories e ao cliente HTTP do ms.temis.vinculos, disparo de auditoria.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Repositories</w:t>
      </w:r>
      <w:r>
        <w:rPr>
          <w:rFonts w:ascii="Calibri" w:hAnsi="Calibri"/>
          <w:b w:val="0"/>
          <w:i w:val="0"/>
          <w:sz w:val="22"/>
        </w:rPr>
        <w:t>: encapsulam queries SQL via Dapper. Cada repository corresponde a uma entidade do banco. Queries parametrizadas para prevencao de SQL Injection. Sem logica de negocio.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Banco auxo3</w:t>
      </w:r>
      <w:r>
        <w:rPr>
          <w:rFonts w:ascii="Calibri" w:hAnsi="Calibri"/>
          <w:b w:val="0"/>
          <w:i w:val="0"/>
          <w:sz w:val="22"/>
        </w:rPr>
        <w:t>: banco principal do sistema Gerenciador. Tabelas do modulo criadas via migrations versionadas em /sql/migrations/.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ms.temis.vinculos</w:t>
      </w:r>
      <w:r>
        <w:rPr>
          <w:rFonts w:ascii="Calibri" w:hAnsi="Calibri"/>
          <w:b w:val="0"/>
          <w:i w:val="0"/>
          <w:sz w:val="22"/>
        </w:rPr>
        <w:t>: microsservico externo acessado via HttpClient. Comunicacao assíncrona com timeout configurado (5s) e retry automatico (1 tentativa adicional em caso de falha de rede).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Modelo de dados (banco auxo3)</w:t>
      </w:r>
    </w:p>
    <w:p>
      <w:pPr>
        <w:pStyle w:val="Heading2"/>
        <w:keepNext/>
        <w:keepLines/>
      </w:pPr>
      <w:r>
        <w:t>3.1 Tabela Grupos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IDENTITY(1,1),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unico do grupo, gerado automaticamente pelo banco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UNIQUE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 do grupo — deve ser unico no sistema; usado como identificador legivel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Descricao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nvarchar(500)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Descricao opcional do proposito e escopo do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bit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Flag de soft delete: 1 = ativo, 0 = removido logicamente. Grupos inativos nao aparecem nas listagens padrao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DataCriacao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GETDATE()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de criacao do registro, preenchido automaticamente pelo banco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DataAtualizacao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ultima atualizacao; preenchido pelo sistema a cada PUT /grupos/{id}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Tabela PermissoesGrupo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IDENTITY(1,1),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unico da permissao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-&gt; Grupos.Id,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Referencia ao grupo ao qual a permissao pertence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nvarchar(50)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Codigo da permissao. Valores validos: Leitura, Escrita, Exclusao, Administracao, Relatorio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Regra de negocio:</w:t>
      </w:r>
      <w:r>
        <w:rPr>
          <w:rFonts w:ascii="Calibri" w:hAnsi="Calibri"/>
          <w:b w:val="0"/>
          <w:i w:val="0"/>
          <w:sz w:val="22"/>
        </w:rPr>
        <w:t xml:space="preserve"> A atualizacao de permissoes (PUT /grupos/{id}/permissoes) realiza substituicao completa — remove todas as permissoes existentes do grupo e insere as novas fornecidas no payload. Operacao atomica em transacao SQL.</w:t>
      </w:r>
    </w:p>
    <w:p>
      <w:pPr>
        <w:pStyle w:val="Heading2"/>
        <w:keepNext/>
        <w:keepLines/>
      </w:pPr>
      <w:r>
        <w:t>3.3 Tabela UsuariosGrupo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IDENTITY(1,1),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unico do vinculo usuario-grupo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-&gt; Grupos.Id,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Referencia ao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-&gt; Usuarios.Id,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Referencia ao usuario do sistema Gerenciador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DataVinculo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em que o vinculo foi criado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bit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Flag de soft delete para o vinculo: 1 = ativo, 0 = desvinculado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Restricao de unicidade:</w:t>
      </w:r>
      <w:r>
        <w:rPr>
          <w:rFonts w:ascii="Calibri" w:hAnsi="Calibri"/>
          <w:b w:val="0"/>
          <w:i w:val="0"/>
          <w:sz w:val="22"/>
        </w:rPr>
        <w:t xml:space="preserve"> Par (GrupoId, UsuarioId) deve ser unico para registros com Ativo = 1. Vinculo duplicado e rejeitado com HTTP 409 Conflict.</w:t>
      </w:r>
    </w:p>
    <w:p>
      <w:pPr>
        <w:pStyle w:val="Heading2"/>
        <w:keepNext/>
        <w:keepLines/>
      </w:pPr>
      <w:r>
        <w:t>3.4 Tabela AuditoriaGrupos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IDENTITY(1,1),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unico do registro de auditoria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-&gt; Grupos.Id,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Referencia ao grupo afetado; NULL em operacoes que destroem 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UsuarioOperadorId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 do usuario autenticado que realizou a operacao (extraido do JWT)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da operacao: CREATE, UPDATE, DELETE, ADD_USER, REMOVE_USER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DataHora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operacao (UTC)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Detalhe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nvarchar(max)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Payload JSON com detalhes da mudanca (valores anteriores e novos para UPDATE)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Nota:</w:t>
      </w:r>
      <w:r>
        <w:rPr>
          <w:rFonts w:ascii="Calibri" w:hAnsi="Calibri"/>
          <w:b w:val="0"/>
          <w:i w:val="0"/>
          <w:sz w:val="22"/>
        </w:rPr>
        <w:t xml:space="preserve"> A tabela AuditoriaGrupos e implementada na Sprint 2 (AG-23). O endpoint POST /grupos/{id}/auditoria e interno — chamado pelo proprio Service, nunca exposto diretamente ao cliente.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Endpoints da API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Metodo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(AG)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novo grupo com nome, descricao e permissoes iniciais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todos os grupos ativos (Ativo = 1); suporta paginacao e filtro por nome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Buscar grupo especifico por ID, retornando dados completos incluindo permissoes e lista de usuarios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nome e/ou descricao do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grupo (Ativo = 0); nao remove fisicamente o registro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/grupos/{id}/permissoes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Substituir completamente as permissoes do grupo; operacao atomica em transacao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 (RF-05)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#13)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/grupos/{id}/usuarios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usuario ao grupo; propaga ao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 (RF-06)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#14)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/grupos/{id}/usuarios/{uid}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Desvincular usuario do grupo; propaga ao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 (RF-06)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/grupos/{id}/auditoria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(Interno) Registrar entrada de auditoria para operacao critica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 (RF-07)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desenvolvimento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/grupos/relatorio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 consolidado de grupos, usuarios e permissoes; suporta filtros e exportacao CSV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 (RF-09)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Decisoes arquiteturais</w:t>
      </w:r>
    </w:p>
    <w:p>
      <w:pPr>
        <w:pStyle w:val="Heading2"/>
        <w:keepNext/>
        <w:keepLines/>
      </w:pPr>
      <w:r>
        <w:t>GDE-001 — Dapper vs Entity Framework Core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Decisao:</w:t>
      </w:r>
      <w:r>
        <w:rPr>
          <w:rFonts w:ascii="Calibri" w:hAnsi="Calibri"/>
          <w:b w:val="0"/>
          <w:i w:val="0"/>
          <w:sz w:val="22"/>
        </w:rPr>
        <w:t xml:space="preserve"> Dapper adotado como ORM para todas as operacoes de acesso a dados.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Contexto:</w:t>
      </w:r>
      <w:r>
        <w:rPr>
          <w:rFonts w:ascii="Calibri" w:hAnsi="Calibri"/>
          <w:b w:val="0"/>
          <w:i w:val="0"/>
          <w:sz w:val="22"/>
        </w:rPr>
        <w:t xml:space="preserve"> O projeto Gerenciador AASP roda em .NET Framework 4.7.2. O Entity Framework Core em suas versoes modernas tem suporte limitado ao .NET FW 4.7.2, requerendo o uso de versoes antigas com recursos reduzidos. Alem disso, o banco auxo3 possui schema legado com convencoes de nomenclatura que dificultam o mapeamento automatico do EF Core.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Consequencias:</w:t>
      </w:r>
      <w:r>
        <w:rPr>
          <w:rFonts w:ascii="Calibri" w:hAnsi="Calibri"/>
          <w:b w:val="0"/>
          <w:i w:val="0"/>
          <w:sz w:val="22"/>
        </w:rPr>
        <w:t xml:space="preserve"> Queries SQL escritas manualmente nos Repositories, o que aumenta o controle sobre performance mas exige disciplina no uso de queries parametrizadas para prevencao de SQL Injection. Toda query revisada no code review com checklist especifico para seguranca de dados.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Referencia completa:</w:t>
      </w:r>
      <w:r>
        <w:rPr>
          <w:rFonts w:ascii="Calibri" w:hAnsi="Calibri"/>
          <w:b w:val="0"/>
          <w:i w:val="0"/>
          <w:sz w:val="22"/>
        </w:rPr>
        <w:t xml:space="preserve"> GDE-AASP01-001_Registro-de-Analise-de-Decisao.docx</w:t>
      </w:r>
    </w:p>
    <w:p>
      <w:pPr>
        <w:pStyle w:val="Heading2"/>
        <w:keepNext/>
        <w:keepLines/>
      </w:pPr>
      <w:r>
        <w:t>GDE-002 — Soft Delete vs Hard Delete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Decisao:</w:t>
      </w:r>
      <w:r>
        <w:rPr>
          <w:rFonts w:ascii="Calibri" w:hAnsi="Calibri"/>
          <w:b w:val="0"/>
          <w:i w:val="0"/>
          <w:sz w:val="22"/>
        </w:rPr>
        <w:t xml:space="preserve"> Soft Delete adotado para grupos e para vinculos usuario-grupo (campo Ativo bit).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Contexto:</w:t>
      </w:r>
      <w:r>
        <w:rPr>
          <w:rFonts w:ascii="Calibri" w:hAnsi="Calibri"/>
          <w:b w:val="0"/>
          <w:i w:val="0"/>
          <w:sz w:val="22"/>
        </w:rPr>
        <w:t xml:space="preserve"> O sistema Gerenciador AASP precisa manter rastreabilidade historica para fins de auditoria e conformidade. Hard delete de grupos comprometeria a integridade referencial da tabela AuditoriaGrupos e impossibilitaria a reconstrucao do historico de operacoes.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Consequencias:</w:t>
      </w:r>
      <w:r>
        <w:rPr>
          <w:rFonts w:ascii="Calibri" w:hAnsi="Calibri"/>
          <w:b w:val="0"/>
          <w:i w:val="0"/>
          <w:sz w:val="22"/>
        </w:rPr>
        <w:t xml:space="preserve"> Queries de listagem sempre filtram por </w:t>
      </w:r>
      <w:r>
        <w:rPr>
          <w:rFonts w:ascii="Courier New" w:hAnsi="Courier New"/>
          <w:b w:val="0"/>
          <w:i w:val="0"/>
          <w:color w:val="333333"/>
          <w:sz w:val="20"/>
        </w:rPr>
        <w:t>Ativo = 1</w:t>
      </w:r>
      <w:r>
        <w:rPr>
          <w:rFonts w:ascii="Calibri" w:hAnsi="Calibri"/>
          <w:b w:val="0"/>
          <w:i w:val="0"/>
          <w:sz w:val="22"/>
        </w:rPr>
        <w:t>. Operacoes de DELETE retornam HTTP 200 com o registro atualizado (nao HTTP 204 No Content), para confirmar o estado apos a operacao. Necessidade de mecanismo de expurgo futuro a ser definido pelo cliente.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Referencia completa:</w:t>
      </w:r>
      <w:r>
        <w:rPr>
          <w:rFonts w:ascii="Calibri" w:hAnsi="Calibri"/>
          <w:b w:val="0"/>
          <w:i w:val="0"/>
          <w:sz w:val="22"/>
        </w:rPr>
        <w:t xml:space="preserve"> GDE-AASP01-001_Registro-de-Analise-de-Decisao.docx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Integracao com ms.temis.vinculos</w:t>
      </w:r>
    </w:p>
    <w:p>
      <w:pPr>
        <w:pStyle w:val="Heading2"/>
        <w:keepNext/>
        <w:keepLines/>
      </w:pPr>
      <w:r>
        <w:t>6.1 Visao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um usuario e vinculado ou desvinculado de um grupo via API do ms.auxo.gruposusuarios, o servico realiza automaticamente uma chamada HTTP ao microsservico ms.temis.vinculos para manter a consistencia dos dados no banco temis3.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integracao e unidirecional: ms.auxo.gruposusuarios chama ms.temis.vinculos; nunca o contrario. O ms.temis.vinculos nao conhece a existencia de grupos — ele opera sobre vinculos genericos de usuario.</w:t>
      </w:r>
    </w:p>
    <w:p>
      <w:pPr>
        <w:pStyle w:val="Heading2"/>
        <w:keepNext/>
        <w:keepLines/>
      </w:pPr>
      <w:r>
        <w:t>6.2 Contrato de chamada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Endpoint:</w:t>
      </w:r>
      <w:r>
        <w:rPr>
          <w:rFonts w:ascii="Calibri" w:hAnsi="Calibri"/>
          <w:b w:val="0"/>
          <w:i w:val="0"/>
          <w:sz w:val="22"/>
        </w:rPr>
        <w:t xml:space="preserve"> POST /api/vinculos (ms.temis.vinculos)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Payload: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```json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{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"usuarioId": 123,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"grupoId": 45,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"operacao": "ADD"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}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Valores validos para "operacao": </w:t>
      </w:r>
      <w:r>
        <w:rPr>
          <w:rFonts w:ascii="Courier New" w:hAnsi="Courier New"/>
          <w:b w:val="0"/>
          <w:i w:val="0"/>
          <w:color w:val="333333"/>
          <w:sz w:val="20"/>
        </w:rPr>
        <w:t>"ADD"</w:t>
      </w:r>
      <w:r>
        <w:rPr>
          <w:rFonts w:ascii="Calibri" w:hAnsi="Calibri"/>
          <w:b w:val="0"/>
          <w:i w:val="0"/>
          <w:sz w:val="22"/>
        </w:rPr>
        <w:t xml:space="preserve"> (vinculo) ou </w:t>
      </w:r>
      <w:r>
        <w:rPr>
          <w:rFonts w:ascii="Courier New" w:hAnsi="Courier New"/>
          <w:b w:val="0"/>
          <w:i w:val="0"/>
          <w:color w:val="333333"/>
          <w:sz w:val="20"/>
        </w:rPr>
        <w:t>"REMOVE"</w:t>
      </w:r>
      <w:r>
        <w:rPr>
          <w:rFonts w:ascii="Calibri" w:hAnsi="Calibri"/>
          <w:b w:val="0"/>
          <w:i w:val="0"/>
          <w:sz w:val="22"/>
        </w:rPr>
        <w:t xml:space="preserve"> (desvinculo).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Autenticacao:</w:t>
      </w:r>
      <w:r>
        <w:rPr>
          <w:rFonts w:ascii="Calibri" w:hAnsi="Calibri"/>
          <w:b w:val="0"/>
          <w:i w:val="0"/>
          <w:sz w:val="22"/>
        </w:rPr>
        <w:t xml:space="preserve"> Bearer Token repassado do contexto da requisicao original (token do usuario operador).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Timeout:</w:t>
      </w:r>
      <w:r>
        <w:rPr>
          <w:rFonts w:ascii="Calibri" w:hAnsi="Calibri"/>
          <w:b w:val="0"/>
          <w:i w:val="0"/>
          <w:sz w:val="22"/>
        </w:rPr>
        <w:t xml:space="preserve"> 5 segundos. Ultrapassado o timeout, a chamada e considerada falha.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Retry:</w:t>
      </w:r>
      <w:r>
        <w:rPr>
          <w:rFonts w:ascii="Calibri" w:hAnsi="Calibri"/>
          <w:b w:val="0"/>
          <w:i w:val="0"/>
          <w:sz w:val="22"/>
        </w:rPr>
        <w:t xml:space="preserve"> 1 tentativa adicional automatica apos falha de rede (nao replicado em erros HTTP 4xx).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Comportamento em caso de falha persistente:</w:t>
      </w:r>
      <w:r>
        <w:rPr>
          <w:rFonts w:ascii="Calibri" w:hAnsi="Calibri"/>
          <w:b w:val="0"/>
          <w:i w:val="0"/>
          <w:sz w:val="22"/>
        </w:rPr>
        <w:t xml:space="preserve"> A operacao no banco auxo3 e confirmada (o vinculo e registrado localmente); a falha na integracao com temis3 e registrada como log de erro e como entrada na tabela AuditoriaGrupos (Acao: "TEMIS_SYNC_ERROR"). Um mecanismo de reconciliacao manual e documentado no ITP-AASP01-001.</w:t>
      </w:r>
    </w:p>
    <w:p>
      <w:pPr>
        <w:pStyle w:val="Heading2"/>
        <w:keepNext/>
        <w:keepLines/>
      </w:pPr>
      <w:r>
        <w:t>6.3 Referencia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Para a especificacao completa do contrato de integracao, cenarios de erro, exemplos de payload e procedimento de reconciliacao, consultar: </w:t>
      </w:r>
      <w:r>
        <w:rPr>
          <w:rFonts w:ascii="Calibri" w:hAnsi="Calibri"/>
          <w:b/>
          <w:i w:val="0"/>
          <w:sz w:val="22"/>
        </w:rPr>
        <w:t>ITP-AASP01-001_Estrategia-de-Integracao.docx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inicial — Sprint 1; stack, modelo de dados, endpoints S1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Adicao da secao 6 (integracao ms.temis.vinculos) apos disponibilizacao do contrato de API no inicio da Sprint 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