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Decisões de adaptação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Adaptação do processo-padrão (PRO-GPC-001) a este projeto, conforme o GUIA-GPC-001.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Eixo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UX/UI — apenas back-end/worker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é um agente de captura e serviços de retaguarda; não há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elabora; AASP valida e homologa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requisitos derivam de problemas operacionais da captura; o cliente valida resultados e aceita as entregas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→ formalidade 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~586 h estimadas, ~9 meses, dois projetos correlatos (id 213 EPROC e id 256 CNJ)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Sênior acumulou execução de testes nas fases iniciais; GP acumulou responsável por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Analista de Testes dedicado a partir da Fase 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acompanhada por horas/cards no ClickUp; backlog modelado retroativamente em sprints e story points para evidência e carga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Concilia a gestão real com a rastreabilidade ágil (ver GEST-AASPCNJ01)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entrega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devolutivas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Acordada com a AASP; resultados comunicados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adotado — homologação por amostragem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havia ambiente de Elasticsearch dedicado para testes; validação por repetição do mesmo processo na fila sem impacto no índice de produção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Etapas aplicáveis e não aplicáveis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/ artefato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sem front-end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teste por história (story)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organizados por fluxo e fase (ver VV-AASPCNJ01-001)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(arquitetura)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e execução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 e REL-VV-AASPCNJ01-001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 (GitFlow + GMUD)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decisões (GDE)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subcontratação de desenvolvimento; APIs/infra de terceiros são insumos de serviço, tratados em ITP/PCP e Riscos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Requisitos especificados e validados (REQ-AASPCNJ01-001)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Plano de Projeto aprovado pelo cliente (baseline) — a registrar no encerramento (projeto em execução)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Definição de Pronto aplicada (critérios de aceite CA01–CA07, ver 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Verificação e validação realizadas (VV / REL-VV)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Encerramento formal com aceite — Onda 3 (encerramento previsto 31/08/2026)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dois pontos em aberto referem-se a marcos de encerramento e serão registrados ao final do projeto (TAE-AASPCNJ01-001 e a ata de aceite), conforme o estágio atual.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Sim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