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Sim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As mesmas decisões de adaptação da OS-PARCELA-001 (ADAP-GASMIG02-001) se mantêm nesta OS, com os ajustes anotados abaixo.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UX/UI — projeto de configuração cloud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OS-001. Escopo é 100% configuração de Azure APIM, Key Vault e Azure Monitor.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fornece contexto; Timeware elabora especificação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formalidade 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Mesmo porte e equipe da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acumula Tech Lead, Arquiteto e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Criticidade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Padrão com atenção reforçada em segurança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 OS implementa autenticação (OAuth 2.0), gestão de secrets (Key Vault) e homologação end-to-end — componentes de segurança crítica. Verificação técnica de Cézar Hiraki cobre especificamente esses itens.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 — aceite único ao final da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Sandbox já entregue na OS-001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sandbox é utilizado na homologação desta OS, não provisionado aqui.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Validação (VV)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de configuração + smoke checks + verificação técnica 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Mesma abordagem da OS-001. Adicionado: verificação de fluxo OAuth 2.0 end-to-end e validação de secrets no Key Vault.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a definir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Mantido da OS-001.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Estende o design da OS-001 com Key Vault, OAuth 2.0, Application Insights e Azure Monitor.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em REQ-GASMIG02-002.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Estende RASTR-GASMIG02-001 com os novos requisitos.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 adaptação: cronograma por atividades, não por sprints.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(ITP)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 — parcialmente aplicável nesta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integração entre APIM, Key Vault e Entra ID (OAuth 2.0) constitui integração entre serviços Azure; documentada no Documento de Design.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software (unitários, BDD/Gherkin)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Igual à OS-001 — projeto de configuração, sem desenvolvimento de código.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configuração (checklist)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item verificado por checklist no portal Azure e nas ferramentas de monitoramento.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 foco reforçado em OAuth 2.0, Key Vault e alertas — componentes de maior criticidade desta 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checks HTTP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fluxo OAuth 2.0 end-to-end e de alertas disparados.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Sim, se acionado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Mesmo fluxo da OS-001.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após sessão de homologação.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Plano de Projeto aprovado pelo cliente (baseline)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Definição de Pronto aplicada (checklist de verificação — VV-GASMIG02-002)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Verificação e validação realizadas (verificação técnica + sessão de homologação GASMIG)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Encerramento formal com aceite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adaptações da OS-PARCELA-002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Sim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