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top w:val="single" w:sz="32" w:space="0" w:color="003366"/>
        </w:pBdr>
        <w:spacing w:before="0" w:after="0"/>
      </w:pPr>
    </w:p>
    <w:p>
      <w:pPr>
        <w:spacing w:before="240" w:after="40"/>
      </w:pPr>
      <w:r>
        <w:rPr>
          <w:rFonts w:ascii="Calibri" w:hAnsi="Calibri"/>
          <w:b/>
          <w:color w:val="003366"/>
          <w:sz w:val="36"/>
        </w:rPr>
        <w:t>DOCUMENTO DE DESIGN — FUNDAÇÃO TECNOLÓGICA GASMIG · OS-PARCELA-002</w:t>
      </w:r>
    </w:p>
    <w:p>
      <w:pPr>
        <w:spacing w:before="0" w:after="40"/>
      </w:pPr>
      <w:r>
        <w:rPr>
          <w:rFonts w:ascii="Calibri" w:hAnsi="Calibri"/>
          <w:color w:val="555555"/>
          <w:sz w:val="20"/>
        </w:rPr>
        <w:t>PCP-GASMIG02-002   ·   Versão Data   ·   (A) Application Insights + Azure Monitor; (B) Stack externa   ·   Timeware Brasil</w:t>
      </w:r>
    </w:p>
    <w:p>
      <w:pPr>
        <w:pBdr>
          <w:bottom w:val="single" w:sz="6" w:space="1" w:color="003366"/>
        </w:pBdr>
        <w:spacing w:before="120" w:after="28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Campo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Valor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Documento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PCP-GASMIG02-002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Projeto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Fundação Tecnológica GASMIG — OS-PARCELA-002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1.0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26/05/2026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Responsáveis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Cézar Hiraki (Tech Lead / Arquiteto) / Abraão Oliveira (GP/PO)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1. Visão geral da solução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Esta OS estende a arquitetura entregue na OS-PARCELA-001. Os novos componentes se integram à instância APIM existente sem alteração estrutural dos workspaces ou produtos já configurados. O resultado final é a fundação completa: segura, observável e com ciclo de vida governado.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2. Design técnico (arquitetura)</w:t>
      </w:r>
    </w:p>
    <w:p>
      <w:pPr>
        <w:pStyle w:val="Heading2"/>
        <w:keepNext/>
        <w:keepLines/>
      </w:pPr>
      <w:r>
        <w:t>2.1. Arquitetura estendida</w:t>
      </w:r>
    </w:p>
    <w:p>
      <w:pPr>
        <w:spacing w:before="0" w:after="120"/>
      </w:pPr>
      <w:r>
        <w:rPr>
          <w:rFonts w:ascii="Courier New" w:hAnsi="Courier New"/>
          <w:b w:val="0"/>
          <w:i w:val="0"/>
          <w:color w:val="333333"/>
          <w:sz w:val="20"/>
        </w:rPr>
        <w:t>`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┌─────────────────────────────────────────────────────────────────────┐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│                    Microsoft Azure (Tenant GASMIG)                  │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│                                                                     │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│  ┌──────────────────────────────────────────────────────────────┐  │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│  │              Azure API Management (APIM) — OS-001 + OS-002   │  │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│  │                                                              │  │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│  │  ┌──────────────────────────────────────────────────────┐   │  │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│  │  │           Camada de Políticas Globais (OS-001)        │   │  │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│  │  │  + OAuth 2.0 JWT validation  + CORS  + Payload Validation│  │  │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│  │  └──────────────────────────────────────────────────────┘   │  │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│  │                                                              │  │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│  │  ┌──────────────────┐  ┌──────────────────────────────┐    │  │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│  │  │  Named Values     │  │  Policy Fragments             │    │  │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│  │  │  → Key Vault refs │  │  pf-oauth, pf-cors,           │    │  │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│  │  │  (sem hard-code)  │  │  pf-payload-validation        │    │  │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│  │  └──────────────────┘  └──────────────────────────────┘    │  │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│  │                                                              │  │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│  │  Workspaces ws-arcelormittal / ws-usiminas (OS-001)          │  │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│  │  + OAuth 2.0 e API Keys granulares por workspace             │  │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│  └──────────────────────────────────────────────────────────────┘  │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│                                                                     │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│  ┌─────────────────────┐   ┌──────────────────────────────────┐   │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│  │  Azure Key Vault     │   │  Microsoft Entra ID              │   │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│  │  (secrets, API Keys, │   │  App Registration (OAuth 2.0)    │   │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│  │   connection strings)│   │  → JWT tokens para APIM          │   │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│  └─────────────────────┘   └──────────────────────────────────┘   │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│                                                                     │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│  ┌─────────────────────────────────────────────────────────────┐  │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│  │  Observabilidade                                             │  │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│  │  Application Insights ──► APIM (telemetria nativa)          │  │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│  │  Azure Monitor ──► Dashboards + Regras de Alerta            │  │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│  └─────────────────────────────────────────────────────────────┘  │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└─────────────────────────────────────────────────────────────────────┘</w:t>
      </w:r>
    </w:p>
    <w:p>
      <w:pPr>
        <w:spacing w:before="0" w:after="120"/>
      </w:pPr>
      <w:r>
        <w:rPr>
          <w:rFonts w:ascii="Courier New" w:hAnsi="Courier New"/>
          <w:b w:val="0"/>
          <w:i w:val="0"/>
          <w:color w:val="333333"/>
          <w:sz w:val="20"/>
        </w:rPr>
        <w:t>`</w:t>
      </w:r>
    </w:p>
    <w:p>
      <w:pPr>
        <w:pStyle w:val="Heading2"/>
        <w:keepNext/>
        <w:keepLines/>
      </w:pPr>
      <w:r>
        <w:t>2.2. Novos componentes e integrações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Azure Key Vault (RF-11):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Key Vault provisionado no mesmo resource group do APIM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 xml:space="preserve">Named values do APIM migrados para referências do Key Vault (tipo </w:t>
      </w:r>
      <w:r>
        <w:rPr>
          <w:rFonts w:ascii="Courier New" w:hAnsi="Courier New"/>
          <w:b w:val="0"/>
          <w:i w:val="0"/>
          <w:color w:val="333333"/>
          <w:sz w:val="20"/>
        </w:rPr>
        <w:t>Key Vault reference</w:t>
      </w:r>
      <w:r>
        <w:rPr>
          <w:rFonts w:ascii="Calibri" w:hAnsi="Calibri"/>
          <w:b w:val="0"/>
          <w:i w:val="0"/>
          <w:sz w:val="22"/>
        </w:rPr>
        <w:t>)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Managed Identity do APIM com acesso de leitura ao Key Vault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Secrets: connection strings, chaves de integração, valores sensíveis que antes eram named values diretos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OAuth 2.0 via Entra ID (RF-12):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App Registration criada no Entra ID GASMIG (escopo: APIM)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 xml:space="preserve">Política </w:t>
      </w:r>
      <w:r>
        <w:rPr>
          <w:rFonts w:ascii="Courier New" w:hAnsi="Courier New"/>
          <w:b w:val="0"/>
          <w:i w:val="0"/>
          <w:color w:val="333333"/>
          <w:sz w:val="20"/>
        </w:rPr>
        <w:t>validate-jwt</w:t>
      </w:r>
      <w:r>
        <w:rPr>
          <w:rFonts w:ascii="Calibri" w:hAnsi="Calibri"/>
          <w:b w:val="0"/>
          <w:i w:val="0"/>
          <w:sz w:val="22"/>
        </w:rPr>
        <w:t xml:space="preserve"> configurada no APIM referenciando o Entra ID como IdP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 xml:space="preserve">Fluxo: consumidor obtém token no Entra ID → envia no header </w:t>
      </w:r>
      <w:r>
        <w:rPr>
          <w:rFonts w:ascii="Courier New" w:hAnsi="Courier New"/>
          <w:b w:val="0"/>
          <w:i w:val="0"/>
          <w:color w:val="333333"/>
          <w:sz w:val="20"/>
        </w:rPr>
        <w:t>Authorization: Bearer &lt;token&gt;</w:t>
      </w:r>
      <w:r>
        <w:rPr>
          <w:rFonts w:ascii="Calibri" w:hAnsi="Calibri"/>
          <w:b w:val="0"/>
          <w:i w:val="0"/>
          <w:sz w:val="22"/>
        </w:rPr>
        <w:t xml:space="preserve"> → APIM valida e autoriza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Controle granular: política aplicada por workspace e por API conforme necessidade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API Keys (RF-13):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Subscription keys do APIM já existiam na OS-001; esta OS adiciona controle granular por API (além de por produto/workspace)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Política de verificação de chave aplicável em nível de operação específica quando necessário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Coexistência com OAuth 2.0: cada API pode exigir OAuth, API Key, ou ambos (defense in depth)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Versionamento (RF-14):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Convenção de versionamento adotada: path-based (</w:t>
      </w:r>
      <w:r>
        <w:rPr>
          <w:rFonts w:ascii="Courier New" w:hAnsi="Courier New"/>
          <w:b w:val="0"/>
          <w:i w:val="0"/>
          <w:color w:val="333333"/>
          <w:sz w:val="20"/>
        </w:rPr>
        <w:t>/v1/</w:t>
      </w:r>
      <w:r>
        <w:rPr>
          <w:rFonts w:ascii="Calibri" w:hAnsi="Calibri"/>
          <w:b w:val="0"/>
          <w:i w:val="0"/>
          <w:sz w:val="22"/>
        </w:rPr>
        <w:t xml:space="preserve">, </w:t>
      </w:r>
      <w:r>
        <w:rPr>
          <w:rFonts w:ascii="Courier New" w:hAnsi="Courier New"/>
          <w:b w:val="0"/>
          <w:i w:val="0"/>
          <w:color w:val="333333"/>
          <w:sz w:val="20"/>
        </w:rPr>
        <w:t>/v2/</w:t>
      </w:r>
      <w:r>
        <w:rPr>
          <w:rFonts w:ascii="Calibri" w:hAnsi="Calibri"/>
          <w:b w:val="0"/>
          <w:i w:val="0"/>
          <w:sz w:val="22"/>
        </w:rPr>
        <w:t>)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Revisões de API (minor changes) via APIM Revisions — sem impacto na URL de consumo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Versões (breaking changes) via APIM Versions — URLs distintas, coexistência controlada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Política de deprecation header configurada para versões em fim de vida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Ciclo de vida (RF-15):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 xml:space="preserve">Estados definidos: </w:t>
      </w:r>
      <w:r>
        <w:rPr>
          <w:rFonts w:ascii="Calibri" w:hAnsi="Calibri"/>
          <w:b/>
          <w:i w:val="0"/>
          <w:sz w:val="22"/>
        </w:rPr>
        <w:t>Preview → Current → Deprecated → Retired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Processo documentado: mudança de estado comunicada via portal do desenvolvedor + email aos subscritores afetados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Política de aviso (</w:t>
      </w:r>
      <w:r>
        <w:rPr>
          <w:rFonts w:ascii="Courier New" w:hAnsi="Courier New"/>
          <w:b w:val="0"/>
          <w:i w:val="0"/>
          <w:color w:val="333333"/>
          <w:sz w:val="20"/>
        </w:rPr>
        <w:t>set-header</w:t>
      </w:r>
      <w:r>
        <w:rPr>
          <w:rFonts w:ascii="Calibri" w:hAnsi="Calibri"/>
          <w:b w:val="0"/>
          <w:i w:val="0"/>
          <w:sz w:val="22"/>
        </w:rPr>
        <w:t>) adicionada às APIs em estado Deprecated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Application Insights + Dashboards (RF-16):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Application Insights provisionado e integrado ao APIM (logger nativo)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Telemetria coletada: todas as requisições — método, URL, status, latência, workspace de origem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Dashboards no Azure Portal configurados: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- Volumetria por API e por workspace (últimas 24h, 7d, 30d)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- Latência p50 e p95 por API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- Taxa de erros (4xx, 5xx) por API e por cliente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- Top 10 APIs por volume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Alertas automatizados (RF-17):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Regras de alerta no Azure Monitor: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- Latência p95 &gt; threshold definido com GASMIG → alerta crítico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- Taxa de erro 5xx &gt; threshold → alerta crítico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- Taxa de erro 4xx &gt; threshold → alerta de atenção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- Indisponibilidade do APIM (health check falha) → alerta crítico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Action Group configurado com destinatários GASMIG (e-mail / Teams webhook)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Frequência de avaliação: 5 minutos (atende RNF-09)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CORS e validação de payloads (RF-18):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Política CORS configurada por API: origens permitidas definidas por ambiente (interno/externo)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 xml:space="preserve">Política </w:t>
      </w:r>
      <w:r>
        <w:rPr>
          <w:rFonts w:ascii="Courier New" w:hAnsi="Courier New"/>
          <w:b w:val="0"/>
          <w:i w:val="0"/>
          <w:color w:val="333333"/>
          <w:sz w:val="20"/>
        </w:rPr>
        <w:t>validate-content</w:t>
      </w:r>
      <w:r>
        <w:rPr>
          <w:rFonts w:ascii="Calibri" w:hAnsi="Calibri"/>
          <w:b w:val="0"/>
          <w:i w:val="0"/>
          <w:sz w:val="22"/>
        </w:rPr>
        <w:t xml:space="preserve"> para validação de schema JSON/XML em APIs que recebem payload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Rejeição de payloads malformados com resposta 400 antes de atingir o backend</w:t>
      </w:r>
    </w:p>
    <w:p>
      <w:pPr>
        <w:pStyle w:val="Heading2"/>
        <w:keepNext/>
        <w:keepLines/>
      </w:pPr>
      <w:r>
        <w:t>2.3. Decisões de design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Decisão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Alternativas consideradas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Escolha e justificativa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RAD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Key Vault: Managed Identity vs. Service Principal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(A) Managed Identity do APIM; (B) Service Principal com certificado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A — Managed Identity.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Sem rotação manual de credenciais; nativa do Azure; alinhada às boas práticas de segurança Microsoft.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OAuth 2.0: validate-jwt policy vs. API Management OAuth server built-in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(A) Política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validate-jwt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referenciando Entra ID; (B) Servidor OAuth built-in do APIM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A — validate-jwt.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Mais flexível, suporta múltiplos IdPs futuros, Entra ID como IdP corporativo já existente.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Versionamento: path-based vs. header-based vs. query-based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(A) Path (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/v1/</w:t>
            </w:r>
            <w:r>
              <w:rPr>
                <w:rFonts w:ascii="Calibri" w:hAnsi="Calibri"/>
                <w:b w:val="0"/>
                <w:i w:val="0"/>
                <w:sz w:val="20"/>
              </w:rPr>
              <w:t>); (B) Header (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api-version</w:t>
            </w:r>
            <w:r>
              <w:rPr>
                <w:rFonts w:ascii="Calibri" w:hAnsi="Calibri"/>
                <w:b w:val="0"/>
                <w:i w:val="0"/>
                <w:sz w:val="20"/>
              </w:rPr>
              <w:t>); (C) Query param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A — Path-based.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Mais explícito para consumidores, mais fácil de documentar no catálogo, padrão adotado pela maioria dos grandes fornecedores de API.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Monitoramento: Application Insights nativo vs. stack externa (Datadog, Grafana)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(A) Application Insights + Azure Monitor; (B) Stack externa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A — Application Insights/Azure Monitor.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Integração nativa com APIM, sem custo adicional de licenciamento, dentro do ecossistema Azure já adotado pela GASMIG.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—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3. Design de produto (UX/UI)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Não aplicável.</w:t>
      </w:r>
      <w:r>
        <w:rPr>
          <w:rFonts w:ascii="Calibri" w:hAnsi="Calibri"/>
          <w:b w:val="0"/>
          <w:i w:val="0"/>
          <w:sz w:val="22"/>
        </w:rPr>
        <w:t xml:space="preserve"> Projeto de configuração de ferramenta, sem desenvolvimento de interface. Ver ADAP-GASMIG02-002.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4. Rastreabilidade requisito → design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Requisito (ID)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Elemento de design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RF-11 — Azure Key Vault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Key Vault + Managed Identity APIM; named values como Key Vault references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RF-12 — OAuth 2.0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App Registration Entra ID; política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validate-jwt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por workspace/API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RF-13 — API Keys granulares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Política de subscription key por operação; coexistência com OAuth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RF-14 — Versionamento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APIM Versions (path-based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/v1/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,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/v2/</w:t>
            </w:r>
            <w:r>
              <w:rPr>
                <w:rFonts w:ascii="Calibri" w:hAnsi="Calibri"/>
                <w:b w:val="0"/>
                <w:i w:val="0"/>
                <w:sz w:val="20"/>
              </w:rPr>
              <w:t>); APIM Revisions para minor changes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RF-15 — Ciclo de vida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Estados de API no APIM; política de deprecation header; comunicação via portal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RF-16 — Monitoramento / dashboards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Application Insights logger; dashboards Azure Monitor (volumetria, latência, erros)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RF-17 — Alertas automatizados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Regras de alerta Azure Monitor; Action Group com destinatários GASMIG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RF-18 — CORS + payload validation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Política CORS por API; política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validate-content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para payloads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RF-19 — Homologação end-to-end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Sessão de homologação cobrindo RF-11 a RF-18 + toda a OS-001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RNF-06 — Sem secrets hard-coded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100% named values como Key Vault references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RNF-07 — OAuth 2.0 conforme RFC 6749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validate-jwt com Entra ID como IdP conforme padrão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RNF-08 — Retenção 30 dias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Política de retenção Application Insights ≥ 30 dias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RNF-09 — Alertas em ≤ 5 min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Frequência de avaliação das regras: 5 minutos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5. Verificação técnica do design (PCP 2)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Cézar Hiraki realizará a verificação técnica em 09/06/2026, com foco em: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Key Vault: Managed Identity configurada corretamente; nenhum secret hard-coded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OAuth 2.0: fluxo end-to-end funcional; validate-jwt configurada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Dashboards e alertas: métricas corretas, thresholds acordados com GASMIG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CORS e payload validation: políticas aplicadas e testadas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Item verificado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Verificador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Resultado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Data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Azure Key Vault + Managed Identity APIM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Cézar Hiraki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 verificar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09/06/2026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OAuth 2.0 end-to-end (token → API validada)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Cézar Hiraki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 verificar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09/06/2026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Dashboards e regras de alerta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Cézar Hiraki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 verificar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09/06/2026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CORS e validação de payload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Cézar Hiraki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 verificar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09/06/2026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Scripts IaC atualizados no Azure DevOps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Cézar Hiraki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 verificar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09/06/2026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Histórico de revisões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Autor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Descrição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1.0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26/05/2026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Cézar Hiraki / Abraão Oliveira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Versão inicial — design da OS-PARCELA-002</w:t>
            </w:r>
          </w:p>
        </w:tc>
      </w:tr>
    </w:tbl>
    <w:p>
      <w:pPr>
        <w:spacing w:before="0" w:after="160"/>
      </w:pPr>
    </w:p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1906" w:h="16838"/>
      <w:pgMar w:top="1587" w:right="1417" w:bottom="1417" w:left="158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vData  ·  (A) Application Insights + Azure Monitor; (B) Stack externa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vData  ·  (A) Application Insights + Azure Monitor; (B) Stack externa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val="right" w:pos="8901"/>
      </w:tabs>
      <w:pBdr>
        <w:bottom w:val="single" w:sz="8" w:space="4" w:color="003366"/>
      </w:pBdr>
      <w:spacing w:before="0" w:after="80"/>
    </w:pPr>
    <w:r>
      <w:rPr>
        <w:rFonts w:ascii="Calibri" w:hAnsi="Calibri"/>
        <w:b/>
        <w:color w:val="003366"/>
        <w:sz w:val="18"/>
      </w:rPr>
      <w:t>TIMEWARE</w:t>
    </w:r>
    <w:r>
      <w:rPr>
        <w:rFonts w:ascii="Calibri" w:hAnsi="Calibri"/>
        <w:color w:val="555555"/>
        <w:sz w:val="18"/>
      </w:rPr>
      <w:t xml:space="preserve">   ·   PCP-GASMIG02-002</w:t>
    </w:r>
    <w:r>
      <w:tab/>
    </w:r>
    <w:r>
      <w:rPr>
        <w:rFonts w:ascii="Calibri" w:hAnsi="Calibri"/>
        <w:color w:val="555555"/>
        <w:sz w:val="18"/>
      </w:rPr>
      <w:t>Projeto e Construção do Produto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Rule="auto" w:line="276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03366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A5276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/>
      <w:b/>
      <w:bCs/>
      <w:i/>
      <w:color w:val="1A527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