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Tag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 / Responsável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 gerenciamento de configuração do projeto, incluindo identificação dos itens de configuração (ICs), estratégia de controle de versão, baselines estabelecidas e auditoria de configuração.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ADAP-PROFARMA01-001 (A-08), o papel de responsável por GCO foi acumulado pelo Gerente de Projeto (Abraão Oliveira), dada a maturidade do controle de versão via Azure DevOps e Git Flow já adotado pelo squad.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Estratégia de gerência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profarma.visualstudio.com/rede-d1000/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branches: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loja-balcao-frontend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 de branching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Git Flow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release/*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 de tags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YY.MM.NÚMERO.PATCH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(ex.: 25.12.1.1, 26.1.1.1)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 de merge em main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CI verde obrigatório: build + testes unitários + análise estática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Mínimo 1 revisor; mudanças arquiteturais requerem aprovação de Armando Junior (D1000)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segredos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segredo comitado em repositório; todas as credenciais via Azure Key Vault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Artefatos em Markdown versionados junto ao repositório MPS-SW 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de configuração (ICs)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 / Localização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Convenção de versão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no encerramento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de Cadastro de Clientes (.NET 8 / Clean Architecture)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rede-d1000/loja-backend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Tags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YY.MM.N.PATCH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BL-02 (26.1.1.1)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 Balcão (.NET / Blazor)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DevOps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rede-d1000/loja-balcao-frontend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Tags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YY.MM.N.PATCH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BL-02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Migrations EF Core (esquema PostgreSQL: clientes, endereços, outbox, auditoria)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loja-backend/src/Infrastructure/Migrations/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Numeração sequencial EF Core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Sincronizado com BL-02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Manifests Kubernetes AKS (Deployment, Service, HPA, ConfigMap)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loja-backend/k8s/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Versionados junto ao tag da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BL-02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de pipeline CI/CD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azure-pipelines.yml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loja-balcao-frontend/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Versionado junto ao código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Variáveis de ambiente e referências ao Azure Key Vault (sem valores sensíveis)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loja-backend/src/API/appsettings.*.json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Versionado junto ao código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segredos expostos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de artefatos MPS-SW do projeto (TAP, PLA, REQ, PCP, VV e demais)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Timeware MPS-SW (branch de entrega)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por 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 artefatos entregues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APIs (Swagger/OpenAPI gerado automaticamente)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+ entregue ao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Vinculado ao tag da 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no pacote de encerramento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Baselines estabelecidas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 / Referência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Componentes incluídos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homologação — pré-UAT formal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Dezembro/2025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25.12.1.1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IC-03, IC-04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 (Infra D1000) após GMUD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piloto / aceite final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26/01/2026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26.1.1.1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IC-03, IC-04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 (aceite formal 29/01/2026); GMUD 2624117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encerramento (documentação)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Commit de encerramento no repositório MPS-SW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IC-07 (18 artefatos documentais)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Histórico de modificações dos ICs (principais marcos)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IC(s) afetado(s)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CR-01 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Adição de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canal_origem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auditoria_clientes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CR-01 / RASTR-PROFARMA01-001 §5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CR-03 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01/08/2025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de RF-10 (endpoint PUT /reativar)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CR-03 / RASTR-PROFARMA01-001 §5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CR-04 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15/08/2025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BlueSoft e CloseUp (RF-15 e RF-16)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CR-04 / RASTR-PROFARMA01-001 §5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CR-09 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de contrato VTEX (novo schema CustomerProfile)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CR-09 / RASTR-PROFARMA01-001 §5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CR-11 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01/11/2025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Adição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telefone_secundario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RF-01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CR-11 / RASTR-PROFARMA01-001 §5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CR-12 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de SLA Call Center de 1000 ms para 500 ms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CR-12 / RASTR-PROFARMA01-001 §5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BL-01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Dezembro/2025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 a IC-06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25.12.1.1 — liberação para homologação final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(número registrado na D1000)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BL-02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 a IC-06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26.1.1.1 — liberação para piloto/produção loja 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2624117; PR 10684 (última correção S2)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Auditoria de configuração</w:t>
      </w:r>
    </w:p>
    <w:p>
      <w:pPr>
        <w:pStyle w:val="Heading2"/>
        <w:keepNext/>
        <w:keepLines/>
      </w:pPr>
      <w:r>
        <w:t>Auditoria GCO-A01 — Auditoria de configuração de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integridade e completude dos ICs do projeto no encerramento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 / responsável GCO)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de auditoria: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ICs identificados estão versionados no 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 a IC-06 em Azure DevOps; IC-07 e IC-08 no repositório Timeware MPS-SW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Tags de baseline correspondem às versões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26.1.1.1 em produção na loja 9; GMUD 2624117 como evidência de deploy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segredo ou credencial comitado no 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Inspeção manual: zero ocorrências de segredos em código (RNF-04); todas as credenciais via Azure Key Vault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 entregue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entregue conforme ATA-PROFARMA01-002 (D-04); repositório Azure DevOps D1000 atualizado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Migrations de banco sincronizadas com a versão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 Core migrations executadas automaticamente no pipeline CI/CD; zero migrations pendentes em produção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Manifests Kubernetes consistentes com a infra em 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Deployment confirmado por Fagner Pereira (Operações D1000) conforme TAE-PROFARMA01-001 §8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de configuração de terceiros (Azure Key Vault, GMUD) registrados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2624117 arquivado na D1000; Key Vault provisionado em Azure conforme RNF-04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change requests sincronizado com o 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CR-01 a CR-12 registrados na RASTR-PROFARMA01-001 §5; todos com PR aprovado no Azure DevOps antes da implementação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Pacote de entrega final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26.1.1.1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loja-backend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loja-balcao-frontend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D1000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 artefatos documentais (PCP, REQ, VV e demais)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D1000 + repositório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de banco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Migrations EF Core sincronizadas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PostgreSQL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Manifests Kubernetes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k8s/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 tag 26.1.1.1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AKS D1000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de monitoramento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APM, alertas, dashboards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Datadog D1000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Manual de monitoramento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Procedimentos de resposta a alertas Datadog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Operações D1000 (Fagner Pereira)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no pacote de encerramento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consolidando o controle de configuração exercido durante o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Tag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