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AO PROCESSO-PADRÃO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adaptações realizadas ao processo-padrão Timeware para a execução do projeto AASP01 — Grupos de Usuários (ms.auxo.usuarios). As adaptações descritas neste documento foram avaliadas e aprovadas pelo Gerente de Projeto antes do inicio das atividades de desenvolvimento, conforme exigido pelo processo de Adaptação (ADAP) do modelo MPS-SW nível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adaptação foi motivada por restrições reais de contexto — equipe enxuta, legado não documentado, restrições do cliente — e não implica redução de qualidade nos produtos entregues. Os mecanismos de mitigação associados a cada adaptação garantem que os objetivos do processo-padrão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inicio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não documentado; requisitos precisaram ser descobertos explorando o banco e o código existente do Gerenciador. Impossível elicitar todos os requisitos upfront sem acesso ao ambiente de produção.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ágil via Microsoft Teams e notas informais; formalização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Kiyoshi, Henry Komatsu e Mateus Veloso); overhead documental de um planning formal nas primeiras sprints comprometia a cadência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(ITP-AASP01-001) definido iterativamente; detalhes do contrato de API acordados no inicio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microsserviço ms.temis.vinculos (banco temis3) foi disponibilizado pelo time do cliente somente no inicio da Sprint 2 (09/06/2026); especificação previa seria baseada em suposições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imposta pelo cliente AASP; o time da AASP precisava preparar o ambiente de homologação em paralelo ao desenvolvimento. O time Timeware trabalhou com instancia local para não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Caroline Sousa (QA Timeware) + Caroline Sousa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participação direta nos testes de aceite como condição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Construção e Produção (PCP) com especificações de baixo nível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nível de decisões arquiteturais e padrões de implementação; detalhes de baixo nível registrados nos Merge Requests !1 a !5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especificações de baixo nível no PCP e nos MRs geraria retrabalho documental sem agregar valor. Os MRs do GitLab servem como documentação viva, rastreável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único (Cezar Hiraki como Tech Lead) nos MRs de código critico; revisão cruzada entre os desenvolvedores (Renan, Henry e Mateus Veloso) nos MRs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Cezar Hiraki revisa todos os MRs dos desenvolvedores. Gate de CI/CD obrigatório compensa parcialmente a redução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acumula os papeis de Arquiteto, Tech Lead, DevOps, Revisor e GCO; a Gerência de Projeto e exercida por 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Cezar Hiraki viabiliza a operação dentro do orçamento contratado. As responsabilidades de cada papel são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processo-padrão Timeware sem qualquer adaptação: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versão com Git</w:t>
      </w:r>
      <w:r>
        <w:rPr>
          <w:rFonts w:ascii="Calibri" w:hAnsi="Calibri"/>
          <w:b w:val="0"/>
          <w:i w:val="0"/>
          <w:sz w:val="22"/>
        </w:rPr>
        <w:t>: todo código versionado no GitLab;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Merge Request obrigatório para merge</w:t>
      </w:r>
      <w:r>
        <w:rPr>
          <w:rFonts w:ascii="Calibri" w:hAnsi="Calibri"/>
          <w:b w:val="0"/>
          <w:i w:val="0"/>
          <w:sz w:val="22"/>
        </w:rPr>
        <w:t>: nenhum código integrado a develop ou main sem MR aprovado, independentemente do tamanho da mudança.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unitarios como gate de CI</w:t>
      </w:r>
      <w:r>
        <w:rPr>
          <w:rFonts w:ascii="Calibri" w:hAnsi="Calibri"/>
          <w:b w:val="0"/>
          <w:i w:val="0"/>
          <w:sz w:val="22"/>
        </w:rPr>
        <w:t>: pipeline GitLab CI bloqueia merge se testes unitarios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ações de mitigação.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Comunicação semanal com o cliente</w:t>
      </w:r>
      <w:r>
        <w:rPr>
          <w:rFonts w:ascii="Calibri" w:hAnsi="Calibri"/>
          <w:b w:val="0"/>
          <w:i w:val="0"/>
          <w:sz w:val="22"/>
        </w:rPr>
        <w:t>: reuniões de acompanhamento com Marcos Turnes (PO AASP) realizadas semanalmente durante toda a execução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MRs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Formalização de Change Requests</w:t>
      </w:r>
      <w:r>
        <w:rPr>
          <w:rFonts w:ascii="Calibri" w:hAnsi="Calibri"/>
          <w:b w:val="0"/>
          <w:i w:val="0"/>
          <w:sz w:val="22"/>
        </w:rPr>
        <w:t>: qualquer mudança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configuração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revisou estimativas ao final de cada sprint e ajustou o PLA-AASP01-001; formalização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 integração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integração projetadas com baixo acoplamento; adaptação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não detectados na Sprint 1 por ausência de homologação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com cobertura estimada de 85% (22/26 métodos); bugs de ambiente identificados e corrigidos no inicio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esforço de coordenação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antecedência; sessões de teste agendadas com Caroline Sousa;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como única fonte de especificação de baixo nível aumenta dependência do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obrigatório (build + testes + análise estática SonarQube); checklist de code review padrão Timeware aplicado em todos os MRs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Cezar Hiraki aumenta risco de sobrecarga e ponto único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Kiyoshi preparado para assumir atividades de GCO em caso de indisponibilidade de Cezar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