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PLA-AASP01-001 — PLANO DE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define o planejamento executivo do projeto AASP01, estabelecendo cronograma, papéis, plano de comunicação, gestão de riscos, verificação &amp; validação e métricas de sucesso para o desenvolvimento do microsserviço </w:t>
      </w:r>
      <w:r>
        <w:rPr>
          <w:rFonts w:ascii="Calibri" w:hAnsi="Calibri"/>
          <w:b/>
          <w:i w:val="0"/>
          <w:sz w:val="22"/>
        </w:rPr>
        <w:t>ms.auxo.usuarios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e Premissas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deste plano abrange as Sprints 1 a 3 do projeto, conforme detalhado no TAP-AASP01-001 e nos requisitos RF-01 a RF-09 do REQ-AASP01-001.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(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>) disponível e acessível durante todo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concedido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disponibilizados antes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Dedicação mínima acordada com as partes para reviews e homologação em cada sprint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Cronograma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26/05/2026–06/06/2026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grupos (RF-01 a RF-04), Função do usuário (RF-05), Vínculos (RF-06) — MRs !1–!5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 06/06/2026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09/06/2026–20/06/2026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Auditoria/Log (RF-07), Integração ms.temis.vinculos (RF-08)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🔄 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23/06/2026–04/07/2026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e CSV export (RF-09), homologação 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📋 Planejada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19/05–04/07/2026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Git Flow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Branch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Finalidade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em produção — merge apenas via release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contínua de features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de cada requisito AG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de entrega ao final de cada sprint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 e Responsabilidades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do backlog, aceite de entrega, aprovação de change requests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de homologação, emissão de parecer de aceite por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do projeto, arquitetura técnica, code review, relatório de status, gestão de riscos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features, testes unitários, atualização da documentação técnica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 e testes unitários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 e testes unitários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Plano de Comunicação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Stand-up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Diária — 09h30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Sexta-feira da semana de fechamento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 + PO + 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Retrospectiva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Sexta-feira da semana de fechamento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Semanal — toda segunda-feira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Turnes, Caroline Sousa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Comunicações urgentes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 demanda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Partes envolvidas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Qualquer membro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Plano de Gestão de Riscos</w:t>
      </w:r>
    </w:p>
    <w:p>
      <w:pPr>
        <w:pStyle w:val="Heading2"/>
        <w:keepNext/>
        <w:keepLines/>
      </w:pPr>
      <w:r>
        <w:t>6.1 Escala de Probabilidade e Impacto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Probabilidade:</w:t>
      </w:r>
      <w:r>
        <w:rPr>
          <w:rFonts w:ascii="Calibri" w:hAnsi="Calibri"/>
          <w:b w:val="0"/>
          <w:i w:val="0"/>
          <w:sz w:val="22"/>
        </w:rPr>
        <w:t xml:space="preserve"> P1 = Baixa | P2 = Média | P3 = Alta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Impacto:</w:t>
      </w:r>
      <w:r>
        <w:rPr>
          <w:rFonts w:ascii="Calibri" w:hAnsi="Calibri"/>
          <w:b w:val="0"/>
          <w:i w:val="0"/>
          <w:sz w:val="22"/>
        </w:rPr>
        <w:t xml:space="preserve"> I1 = Baixo | I2 = Médio | I3 = Alto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Exposição:</w:t>
      </w:r>
      <w:r>
        <w:rPr>
          <w:rFonts w:ascii="Calibri" w:hAnsi="Calibri"/>
          <w:b w:val="0"/>
          <w:i w:val="0"/>
          <w:sz w:val="22"/>
        </w:rPr>
        <w:t xml:space="preserve"> P × I (escala 1–9)</w:t>
      </w:r>
    </w:p>
    <w:p>
      <w:pPr>
        <w:pStyle w:val="Heading2"/>
        <w:keepNext/>
        <w:keepLines/>
      </w:pPr>
      <w:r>
        <w:t>6.2 Registro de Riscos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Mitigação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prévio de janelas de homologação com a equipe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Schema do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inconsistências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do schema antes de cada sprint; scripts de migração com rollback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 solicitada pelo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congelado após assinatura do TAP; novas demandas tratadas via CR formal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Falha na 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 em ITP antes da Sprint 2; ambiente de mock para testes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desenvolvedor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Pair programming documentado; documentação técnica sempre atualizada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Plano de Verificação e Validação (V&amp;V)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Conclusão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≥ 70% nos módulos entregues na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MR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formal no GitLab antes do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integrados validados em ambiente de desenvolvimento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Parecer de aceite emitido pela QA da AASP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escrita do PO (e-mail ou Teams)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Métricas de Sucesso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requisitos funcionais (RF-01 a RF-09) entregues e aceitos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 ≥ 70% em todos os módulos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(RNF-01)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defeitos críticos abertos na entrega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de sprint em 100% das sprints pelo 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validada em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change requests não planejados aprovados durante 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dentro do prazo definido no TAP (até 04/07/2026)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Processo de Change Request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solicitação de alteração de escopo, prazo ou custo deve: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formalizada por escrito (e-mail ou formulário CR) pelo solicitante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avaliada pelo Gerente de Projeto (Abraão) quanto a impacto em prazo, esforço e riscos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Ser aprovada formalmente por </w:t>
      </w:r>
      <w:r>
        <w:rPr>
          <w:rFonts w:ascii="Calibri" w:hAnsi="Calibri"/>
          <w:b/>
          <w:i w:val="0"/>
          <w:sz w:val="22"/>
        </w:rPr>
        <w:t>Marcos Turnes (AASP)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Abraão (Timeware)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registrada no documento de Change Requests (CR-AASP01) com número sequencial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Ter o plano atualizado antes da implementação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Mudanças não aprovadas por ambas as partes não serão implementadas.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