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32" w:space="0" w:color="003366"/>
        </w:pBdr>
        <w:spacing w:before="0" w:after="0"/>
      </w:pPr>
    </w:p>
    <w:p>
      <w:pPr>
        <w:spacing w:before="240" w:after="40"/>
      </w:pPr>
      <w:r>
        <w:rPr>
          <w:rFonts w:ascii="Calibri" w:hAnsi="Calibri"/>
          <w:b/>
          <w:color w:val="003366"/>
          <w:sz w:val="36"/>
        </w:rPr>
        <w:t>RELATÓRIO DE ACOMPANHAMENTO — AASP GERENCIADOR · GRUPOS DE USUÁRIOS</w:t>
      </w:r>
    </w:p>
    <w:p>
      <w:pPr>
        <w:spacing w:before="0" w:after="40"/>
      </w:pPr>
      <w:r>
        <w:rPr>
          <w:rFonts w:ascii="Calibri" w:hAnsi="Calibri"/>
          <w:color w:val="555555"/>
          <w:sz w:val="20"/>
        </w:rPr>
        <w:t>RAC-AASP01-001   ·   Versão 1.1   ·   15/06/2026   ·   Timeware Brasil</w:t>
      </w:r>
    </w:p>
    <w:p>
      <w:pPr>
        <w:pBdr>
          <w:bottom w:val="single" w:sz="6" w:space="1" w:color="003366"/>
        </w:pBdr>
        <w:spacing w:before="120" w:after="28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Campo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Documento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RAC-AASP01-001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AG — Grupos de Usuários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Cliente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AASP — Associação dos Advogados de São Paulo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Produto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ms.auxo.usuarios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Repositório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GitLab · http://191.234.192.153/aasp/ms.auxo.usuarios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GP / Tech Lead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 (GP) · Cezar Hiraki (TL) — Timeware Brasil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Desenvolvedores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Renan Kiyoshi, Henry Komatsu, Mateus Veloso — Timeware Brasil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Marcos Turnes — AASP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QA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Caroline Sousa — AASP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 do relatório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15/06/2026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t>1.2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Status geral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Em andamento — Sprint 2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1. Objetivo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Monitorar o progresso do projeto em relação ao plano estabelecido, identificar desvios de prazo, esforço e qualidade, e registrar ações corretivas adotadas. Este documento constitui evidência do processo GPR (Gerência de Projeto) do nível C do MPS.BR, atendendo ao atributo de monitoramento e controle do progresso do projeto.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2. Sprint 1 — Snapshot de Progresso (06/06/2026)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Atributo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Status geral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 Concluído com aceite formal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Período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26/05/2026 – 06/06/2026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 de aceite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06/06/2026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Responsável pelo aceite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Marcos Turnes (PO — AASP)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Ressalvas no aceite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Nenhuma</w:t>
            </w:r>
          </w:p>
        </w:tc>
      </w:tr>
    </w:tbl>
    <w:p>
      <w:pPr>
        <w:spacing w:before="0" w:after="160"/>
      </w:pPr>
    </w:p>
    <w:p>
      <w:pPr>
        <w:pStyle w:val="Heading2"/>
        <w:keepNext/>
        <w:keepLines/>
      </w:pPr>
      <w:r>
        <w:t>2.1 Itens Planejados vs. Entregues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1272"/>
        <w:gridCol w:w="1272"/>
        <w:gridCol w:w="1272"/>
        <w:gridCol w:w="1272"/>
        <w:gridCol w:w="1272"/>
        <w:gridCol w:w="1272"/>
        <w:gridCol w:w="1272"/>
      </w:tblGrid>
      <w:tr>
        <w:trPr>
          <w:cantSplit w:val="1"/>
        </w:trPr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História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Requisitos Cobertos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SP Planejado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SP Realizado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Desvio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Status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Observação</w:t>
            </w:r>
          </w:p>
        </w:tc>
      </w:tr>
      <w:tr>
        <w:trPr>
          <w:cantSplit w:val="1"/>
        </w:trPr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AG-20 — CRUD Grupos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RF-01, RF-02, RF-03, RF-04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13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13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0%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 Entregue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MRs !1 e !2 aprovados e mergeados; casos GRP-01 a GRP-05 aprovados</w:t>
            </w:r>
          </w:p>
        </w:tc>
      </w:tr>
      <w:tr>
        <w:trPr>
          <w:cantSplit w:val="1"/>
        </w:trPr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AG-21 — Função do Usuário no Grupo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RF-05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11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11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0%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 Entregue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MR !3 aprovado; 8 testes unitários; caso FUNC-01 aprovado</w:t>
            </w:r>
          </w:p>
        </w:tc>
      </w:tr>
      <w:tr>
        <w:trPr>
          <w:cantSplit w:val="1"/>
        </w:trPr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AG-22 — Vínculo Usuário-Grupo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RF-06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10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10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0%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 Entregue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MRs !4 e !5 aprovados; casos VINC-01, VINC-02, VINC-03 aprovados</w:t>
            </w:r>
          </w:p>
        </w:tc>
      </w:tr>
      <w:tr>
        <w:trPr>
          <w:cantSplit w:val="1"/>
        </w:trPr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Total Sprint 1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RF-01 a RF-06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34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34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0%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✅ 100% entregue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—</w:t>
            </w:r>
          </w:p>
        </w:tc>
      </w:tr>
    </w:tbl>
    <w:p>
      <w:pPr>
        <w:spacing w:before="0" w:after="160"/>
      </w:pPr>
    </w:p>
    <w:p>
      <w:pPr>
        <w:pStyle w:val="Heading2"/>
        <w:keepNext/>
        <w:keepLines/>
      </w:pPr>
      <w:r>
        <w:t>2.2 Desvios Identificados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Nenhum desvio de prazo, escopo ou esforço identificado na Sprint 1. Todas as histórias foram entregues dentro do período planejado, com Story Points realizados iguais aos planejados.</w:t>
      </w:r>
    </w:p>
    <w:p>
      <w:pPr>
        <w:pStyle w:val="Heading2"/>
        <w:keepNext/>
        <w:keepLines/>
      </w:pPr>
      <w:r>
        <w:t>2.3 Qualidade — Sprint 1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Indicador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Resultado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Meta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Status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Testes unitários implementados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22 métodos testados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Cobertura estimada de código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85%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≥ 80%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 Meta atingida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Achados de code review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5 (P2: 3 achados · P3: 2 achados)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≤ P2 (sem P1 críticos)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 Sem criticidades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Resolução dos achados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Todos resolvidos antes do merge final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100% antes do merge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Cenários de aceite executados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10 cenários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10 planejados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Cenários de aceite aprovados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10 de 10 (100%)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≥ 95%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 Meta superada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Aceite formal do PO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Marcos Turnes — 06/06/2026 — sem ressalvas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Aceite formal obrigatório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3. Sprint 2 — Snapshot de Progresso (15/06/2026 — Em Andamento)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Atributo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Status geral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⏳ Em andamento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Período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09/06/2026 – 20/06/2026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 do snapshot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15/06/2026 (meio de sprint)</w:t>
            </w:r>
          </w:p>
        </w:tc>
      </w:tr>
    </w:tbl>
    <w:p>
      <w:pPr>
        <w:spacing w:before="0" w:after="160"/>
      </w:pPr>
    </w:p>
    <w:p>
      <w:pPr>
        <w:pStyle w:val="Heading2"/>
        <w:keepNext/>
        <w:keepLines/>
      </w:pPr>
      <w:r>
        <w:t>3.1 Status Atual das Histórias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1780"/>
        <w:gridCol w:w="1780"/>
        <w:gridCol w:w="1780"/>
        <w:gridCol w:w="1780"/>
        <w:gridCol w:w="1780"/>
      </w:tblGrid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História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Requisito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Progresso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Detalhamento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Próximos Passos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AG-23 — Auditoria de Ações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RF-07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Não iniciado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Planejado para a Sprint 2; auditoria ainda não implementada no código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Implementar a trilha de auditoria; abrir MR; executar caso AUD-01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AG-24 — Integração ms.temis.vinculos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RF-08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Não iniciado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Planejado para a Sprint 2; integração ainda não implementada no código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Implementar a integração; abrir MR; executar caso INT-01</w:t>
            </w:r>
          </w:p>
        </w:tc>
      </w:tr>
    </w:tbl>
    <w:p>
      <w:pPr>
        <w:spacing w:before="0" w:after="160"/>
      </w:pPr>
    </w:p>
    <w:p>
      <w:pPr>
        <w:pStyle w:val="Heading2"/>
        <w:keepNext/>
        <w:keepLines/>
      </w:pPr>
      <w:r>
        <w:t>3.2 Riscos Ativos — Sprint 2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1484"/>
        <w:gridCol w:w="1484"/>
        <w:gridCol w:w="1484"/>
        <w:gridCol w:w="1484"/>
        <w:gridCol w:w="1484"/>
        <w:gridCol w:w="1484"/>
      </w:tblGrid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Código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Descrição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Probabilidade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Impacto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Mitigação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Status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R-04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Falha ou instabilidade na integração com ms.temis.vinculos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Média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Alto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Contrato de API definido; retry implementado; cliente HTTP com timeout configurado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Em monitoramento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R-01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Atraso na disponibilização do ambiente de homologação AASP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Baixa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Médio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Aguardando confirmação de janela de testes por Caroline Sousa (AASP)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Em monitoramento</w:t>
            </w:r>
          </w:p>
        </w:tc>
      </w:tr>
    </w:tbl>
    <w:p>
      <w:pPr>
        <w:spacing w:before="0" w:after="160"/>
      </w:pPr>
    </w:p>
    <w:p>
      <w:pPr>
        <w:pStyle w:val="Heading2"/>
        <w:keepNext/>
        <w:keepLines/>
      </w:pPr>
      <w:r>
        <w:t>3.3 Projeção de Encerramento — Sprint 2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AG-23 e AG-24 ainda não foram iniciados no código na data de referência (15/06/2026); a implementação está prevista para o restante da Sprint 2, com aceite planejado para 20/06/2026.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4. Sprint 3 — Status Planejado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1484"/>
        <w:gridCol w:w="1484"/>
        <w:gridCol w:w="1484"/>
        <w:gridCol w:w="1484"/>
        <w:gridCol w:w="1484"/>
        <w:gridCol w:w="1484"/>
      </w:tblGrid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Sprint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Período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Histórias / Entregas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SP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Status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Observação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S3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23/06–04/07/2026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AG-25 — Relatório consolidado (RF-09)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20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📅 Planejado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Sem ajustes de escopo até o momento; depende de AG-23 e AG-24 concluídos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5. Métricas Consolidadas (até 15/06/2026)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1780"/>
        <w:gridCol w:w="1780"/>
        <w:gridCol w:w="1780"/>
        <w:gridCol w:w="1780"/>
        <w:gridCol w:w="1780"/>
      </w:tblGrid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Código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Métrica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Valor Atual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Meta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Status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M1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Entregas no prazo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100% (Sprint 1 com aceite em 06/06/2026)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≥ 90%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 Meta atingida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M2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Desvio de Story Points acumulado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0% (34 SP plan × 34 SP real na S1)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≤ 10%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 Meta atingida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M3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Defeitos por Story Point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0,088 (3 achados P2/P3 em 34 SP — todos resolvidos antes do merge)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≤ 0,20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 Meta atingida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M4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Cobertura de testes unitários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85% (estimada — S1)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≥ 80%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 Meta atingida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M5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Taxa de aceite dos cenários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100% (10 de 10 aprovados em S1)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≥ 95%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 Meta superada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M6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Tempo de resposta dos endpoints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≤ 280 ms (validado via Swagger em S1)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≤ 500 ms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 Meta superada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M7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Rastreabilidade req → teste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100% (para todos os RFs entregues em S1)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100%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 Meta atingida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M8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Satisfação do cliente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Aceite formal sem ressalvas — Marcos Turnes (06/06/2026)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Aceite formal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 Meta atingida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6. Próximo Relatório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 xml:space="preserve">O próximo relatório de acompanhamento está previsto para </w:t>
      </w:r>
      <w:r>
        <w:rPr>
          <w:rFonts w:ascii="Calibri" w:hAnsi="Calibri"/>
          <w:b/>
          <w:i w:val="0"/>
          <w:sz w:val="22"/>
        </w:rPr>
        <w:t>20/06/2026</w:t>
      </w:r>
      <w:r>
        <w:rPr>
          <w:rFonts w:ascii="Calibri" w:hAnsi="Calibri"/>
          <w:b w:val="0"/>
          <w:i w:val="0"/>
          <w:sz w:val="22"/>
        </w:rPr>
        <w:t>, ao encerramento da Sprint 2, e incluirá os resultados de AG-23 e AG-24, os casos de teste AUD-01 e INT-01, e a atualização das métricas M3, M4 e M5.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Histórico de Revisões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Autor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Descrição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09/06/2026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Versão inicial — snapshot pós-Sprint 1 com resultados de entrega, qualidade e aceite formal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1.1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15/06/2026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Atualização de status da Sprint 2 (AG-23 e AG-24 ainda não iniciados no código), riscos ativos e métricas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1.2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15/06/2026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Endpoints e escopo alinhados à API real (GerenciarGruposController); papel do usuário (Usuario/Administrador); três sprints</w:t>
            </w:r>
          </w:p>
        </w:tc>
      </w:tr>
      <w:tr>
        <w:tc>
          <w:tcPr>
            <w:tcW w:type="dxa" w:w="2225"/>
          </w:tcPr>
          <w:p>
            <w:r>
              <w:t>1.2</w:t>
            </w:r>
          </w:p>
        </w:tc>
        <w:tc>
          <w:tcPr>
            <w:tcW w:type="dxa" w:w="2225"/>
          </w:tcPr>
          <w:p>
            <w:r>
              <w:t>24/06/2026</w:t>
            </w:r>
          </w:p>
        </w:tc>
        <w:tc>
          <w:tcPr>
            <w:tcW w:type="dxa" w:w="2225"/>
          </w:tcPr>
          <w:p>
            <w:r>
              <w:t>Time de Melhoria Contínua</w:t>
            </w:r>
          </w:p>
        </w:tc>
        <w:tc>
          <w:tcPr>
            <w:tcW w:type="dxa" w:w="2225"/>
          </w:tcPr>
          <w:p>
            <w:r>
              <w:t>Reconciliação com o estado real do GitLab (produto/repositório ms.auxo.usuarios; framework net5.0 onde aplicável; entregas da Sprint 1 integradas em develop com baseline pela tag sprint-1-aceite).</w:t>
            </w:r>
          </w:p>
        </w:tc>
      </w:tr>
    </w:tbl>
    <w:p>
      <w:pPr>
        <w:spacing w:before="0" w:after="160"/>
      </w:pPr>
    </w:p>
    <w:sectPr w:rsidR="00FC693F" w:rsidRPr="0006063C" w:rsidSect="00034616">
      <w:headerReference w:type="default" r:id="rId9"/>
      <w:headerReference w:type="first" r:id="rId10"/>
      <w:footerReference w:type="default" r:id="rId11"/>
      <w:footerReference w:type="first" r:id="rId12"/>
      <w:pgSz w:w="11906" w:h="16838"/>
      <w:pgMar w:top="1587" w:right="1417" w:bottom="1417" w:left="158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v1.1  ·  15/06/2026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v1.1  ·  15/06/2026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val="right" w:pos="8901"/>
      </w:tabs>
      <w:pBdr>
        <w:bottom w:val="single" w:sz="8" w:space="4" w:color="003366"/>
      </w:pBdr>
      <w:spacing w:before="0" w:after="80"/>
    </w:pPr>
    <w:r>
      <w:rPr>
        <w:rFonts w:ascii="Calibri" w:hAnsi="Calibri"/>
        <w:b/>
        <w:color w:val="003366"/>
        <w:sz w:val="18"/>
      </w:rPr>
      <w:t>TIMEWARE</w:t>
    </w:r>
    <w:r>
      <w:rPr>
        <w:rFonts w:ascii="Calibri" w:hAnsi="Calibri"/>
        <w:color w:val="555555"/>
        <w:sz w:val="18"/>
      </w:rPr>
      <w:t xml:space="preserve">   ·   RAC-AASP01-001</w:t>
    </w:r>
    <w:r>
      <w:tab/>
    </w:r>
    <w:r>
      <w:rPr>
        <w:rFonts w:ascii="Calibri" w:hAnsi="Calibri"/>
        <w:color w:val="555555"/>
        <w:sz w:val="18"/>
      </w:rPr>
      <w:t>Gerência de Projetos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Rule="auto" w:line="276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003366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1A5276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40"/>
      <w:outlineLvl w:val="2"/>
    </w:pPr>
    <w:rPr>
      <w:rFonts w:asciiTheme="majorHAnsi" w:eastAsiaTheme="majorEastAsia" w:hAnsiTheme="majorHAnsi" w:cstheme="majorBidi" w:ascii="Calibri" w:hAnsi="Calibri"/>
      <w:b/>
      <w:bCs/>
      <w:i/>
      <w:color w:val="1A5276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