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RASTR-AASP01-001   ·   Versão 1.2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· http://191.234.192.153/aasp/ms.auxo.usuarios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Komatsu, Mateus Veloso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base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Registrar a rastreabilidade entre histórias do Jira (AG-XX), requisitos funcionais e não funcionais, endpoints implementados, Merge Requests do GitLab, casos de teste e status de entrega. Este documento evidência o atributo de rastreabilidade exigido pelo processo GPR e pelo processo de Gerência de Requisitos (GRE) do nível C do MPS.BR, garantindo que cada requisito possa ser rastreado desde sua origem até a entrega verificada. Os endpoints referem-se ao controller real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Rastreabilidade —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Req. (RF)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 Jira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Endpoint(s)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MR(s)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Casos de Teste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de usuários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incluirgrupo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GRP-01, GRP-07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grupos e consultar usuários do 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listargrupo · GET buscargrupoporid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GRP-02, GRP-03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grupo e ativar/desativar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alterargrupo · POST ativardesativar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GRP-04, GRP-06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Excluir grupo (com notificação opcional)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excluirgrupo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Definir função do usuário no grupo (Usuario/Administrador)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alterarfuncaodousuario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usuário (lista de membros) e remover usuário do 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incluirgrupo/alterargrupo (GrupoDeUsuarios) · POST removerusuario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!4, MR !5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VINC-01, VINC-02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auditoria de ações em AuditoriaGrupos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pendente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Integrar com ms.temis.vinculos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pendente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Gerar relatório consolidado de grupos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pendente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Rastreabilidade —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Req. (RNF)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MR(s)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 de Teste / Validação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≤ 500 ms em condições normais de carga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S1–S3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via Swagger/testes de performance (resultado obtido: ≤ 280 ms)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Validado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e autorização via JWT Bearer Token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em code review e testes de integração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Validado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ações via auditoria (AuditoriaGrupos)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de escrita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pendente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 — planejado para Sprint 2 (AG-23)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Pendente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Cobertura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RFs Cobertos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Casos de Teste Executados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26/05–06/06/2026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RF-02, RF-03, RF-04, RF-05, RF-06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(GRP-01 a GRP-07, FUNC-01, VINC-01, VINC-02)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 (100%)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Aceite formal 06/06/2026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09/06–20/06/2026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RF-07, RF-08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AUD-01, INT-01 (planejados)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23/06–04/07/2026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 (planejado)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Itens Rastreados sem Cobertura de Teste Concluída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itens abaixo possuem requisito definido e rastreabilidade registrada, mas ainda não possuem casos de teste executados e aprovados, pois estão em sprints em andamento ou futuras e ainda não foram implementados no código.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 de Teste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Motivo da Pendência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Prevista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 (Auditoria)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desenvolvimento na Sprint 2; ainda não implementado no 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 (09/06–20/06/2026)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 (Integração ms.temis)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desenvolvimento na Sprint 2; integração ainda não implementada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 (09/06–20/06/2026)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 (Relatório consolidado)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planejado para S3; ainda não implementado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 (23/06–04/07/2026)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Resumo de Cobertura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funcionais entregues:</w:t>
      </w:r>
      <w:r>
        <w:rPr>
          <w:rFonts w:ascii="Calibri" w:hAnsi="Calibri"/>
          <w:b w:val="0"/>
          <w:i w:val="0"/>
          <w:sz w:val="22"/>
        </w:rPr>
        <w:t xml:space="preserve"> 6 de 9 (67%) — RF-01 a RF-06 com aceite formal em S1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funcionais em execução:</w:t>
      </w:r>
      <w:r>
        <w:rPr>
          <w:rFonts w:ascii="Calibri" w:hAnsi="Calibri"/>
          <w:b w:val="0"/>
          <w:i w:val="0"/>
          <w:sz w:val="22"/>
        </w:rPr>
        <w:t xml:space="preserve"> 2 de 9 (22%) — RF-07 e RF-08 em andamento na S2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funcionais planejados:</w:t>
      </w:r>
      <w:r>
        <w:rPr>
          <w:rFonts w:ascii="Calibri" w:hAnsi="Calibri"/>
          <w:b w:val="0"/>
          <w:i w:val="0"/>
          <w:sz w:val="22"/>
        </w:rPr>
        <w:t xml:space="preserve"> 1 de 9 (11%) — RF-09 previsto para S3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não funcionais validados:</w:t>
      </w:r>
      <w:r>
        <w:rPr>
          <w:rFonts w:ascii="Calibri" w:hAnsi="Calibri"/>
          <w:b w:val="0"/>
          <w:i w:val="0"/>
          <w:sz w:val="22"/>
        </w:rPr>
        <w:t xml:space="preserve"> 2 de 3 (67%) — RNF-01 e RNF-02 validados em S1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não funcionais pendentes:</w:t>
      </w:r>
      <w:r>
        <w:rPr>
          <w:rFonts w:ascii="Calibri" w:hAnsi="Calibri"/>
          <w:b w:val="0"/>
          <w:i w:val="0"/>
          <w:sz w:val="22"/>
        </w:rPr>
        <w:t xml:space="preserve"> 1 de 3 (33%) — RNF-03 depende da conclusão de AG-23 (S2)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Casos de teste Sprint 1:</w:t>
      </w:r>
      <w:r>
        <w:rPr>
          <w:rFonts w:ascii="Calibri" w:hAnsi="Calibri"/>
          <w:b w:val="0"/>
          <w:i w:val="0"/>
          <w:sz w:val="22"/>
        </w:rPr>
        <w:t xml:space="preserve"> 10 de 10 (100%) aprovados por Caroline Sousa (AASP)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Rastreabilidade req → teste:</w:t>
      </w:r>
      <w:r>
        <w:rPr>
          <w:rFonts w:ascii="Calibri" w:hAnsi="Calibri"/>
          <w:b w:val="0"/>
          <w:i w:val="0"/>
          <w:sz w:val="22"/>
        </w:rPr>
        <w:t xml:space="preserve"> 100% para todos os requisitos entregues até S1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Rastreabilidade req → MR:</w:t>
      </w:r>
      <w:r>
        <w:rPr>
          <w:rFonts w:ascii="Calibri" w:hAnsi="Calibri"/>
          <w:b w:val="0"/>
          <w:i w:val="0"/>
          <w:sz w:val="22"/>
        </w:rPr>
        <w:t xml:space="preserve"> 100% para requisitos entregues (MRs !1, !2, !3, !4, !5)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estrutura da matriz com requisitos RF-01 a RF-09 e RNF-01 a RNF-03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Atualizado pós-Sprint 1: MRs !1 a !5 registrados, status de entrega e resultados dos casos de teste incorporados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Endpoints, casos de teste e cobertura alinhados à API real (GerenciarGruposController)</w:t>
            </w:r>
          </w:p>
        </w:tc>
      </w:tr>
      <w:tr>
        <w:tc>
          <w:tcPr>
            <w:tcW w:type="dxa" w:w="2225"/>
          </w:tcPr>
          <w:p>
            <w:r>
              <w:t>1.3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