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REQ-AASP01-001 — DOCUMENTO DE REQUISITOS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REQ-AASP01-001   ·   Versão 1.2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AASP01 — Grupos de Usuários (Feature AG)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24/06/2026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descreve os requisitos funcionais, não funcionais e regras de negócio do microsserviço </w:t>
      </w:r>
      <w:r>
        <w:rPr>
          <w:rFonts w:ascii="Calibri" w:hAnsi="Calibri"/>
          <w:b/>
          <w:i w:val="0"/>
          <w:sz w:val="22"/>
        </w:rPr>
        <w:t>ms.auxo.usuarios</w:t>
      </w:r>
      <w:r>
        <w:rPr>
          <w:rFonts w:ascii="Calibri" w:hAnsi="Calibri"/>
          <w:b w:val="0"/>
          <w:i w:val="0"/>
          <w:sz w:val="22"/>
        </w:rPr>
        <w:t xml:space="preserve">, desenvolvido para o sistema Gerenciador da AASP como parte da Feature AG — Grupos de Usuários. Os endpoints citados refletem o controller real </w:t>
      </w:r>
      <w:r>
        <w:rPr>
          <w:rFonts w:ascii="Courier New" w:hAnsi="Courier New"/>
          <w:b w:val="0"/>
          <w:i w:val="0"/>
          <w:color w:val="333333"/>
          <w:sz w:val="20"/>
        </w:rPr>
        <w:t>GerenciarGruposController</w:t>
      </w:r>
      <w:r>
        <w:rPr>
          <w:rFonts w:ascii="Calibri" w:hAnsi="Calibri"/>
          <w:b w:val="0"/>
          <w:i w:val="0"/>
          <w:sz w:val="22"/>
        </w:rPr>
        <w:t xml:space="preserve"> (rota base </w:t>
      </w:r>
      <w:r>
        <w:rPr>
          <w:rFonts w:ascii="Courier New" w:hAnsi="Courier New"/>
          <w:b w:val="0"/>
          <w:i w:val="0"/>
          <w:color w:val="333333"/>
          <w:sz w:val="20"/>
        </w:rPr>
        <w:t>api/gerenciar/grupos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Glossário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Termo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Entidade que agrupa usuários do sistema, registrada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Usuário associado a um grupo, enviado 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do payload do grupo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Papel de um usuário dentro de um grupo: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(0) ou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(1), conforme 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Envelope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Formato de resposta padrão da API: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{ Sucesso, MensagemPublica, RetornaDados, HoraExecucao }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Soft Delete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Exclusão/inativação lógica: registro marcado como inativo, sem remoção física do banco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auxo3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SQL Server principal do sistema Gerenciador da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temis3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Banco de dados SQL Server de integração, acessado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Requisitos Funcionais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 xml:space="preserve">Todos os endpoints usam a rota base </w:t>
      </w:r>
      <w:r>
        <w:rPr>
          <w:rFonts w:ascii="Courier New" w:hAnsi="Courier New"/>
          <w:b w:val="0"/>
          <w:i w:val="0"/>
          <w:color w:val="1A5276"/>
          <w:sz w:val="20"/>
        </w:rPr>
        <w:t>api/gerenciar/grupos</w:t>
      </w:r>
      <w:r>
        <w:rPr>
          <w:rFonts w:ascii="Calibri" w:hAnsi="Calibri"/>
          <w:b w:val="0"/>
          <w:i w:val="0"/>
          <w:color w:val="1A5276"/>
          <w:sz w:val="22"/>
        </w:rPr>
        <w:t>, apenas verbos GET/POST, e respondem no envelope padrão com HTTP 200 (sucesso) ou 400 (erro/validação).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Backlog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Prioridade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Criação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+ lista de membros); validar unicidade do nome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Listagem de grupos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(paginada) e consulta dos usuários de um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Atualização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(nome e membros) e ativação/desativação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Exclusão de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com opção de notificar os membros (campo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da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de um usuário no grupo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Vinculação de usuário ao grupo pela lista de membros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remoção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Registro automático de auditoria em tabela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operações de escrita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Integração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para sincronização de vínculos na base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temis3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Geração de relatório consolidado de grupos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Requisitos Não Funcionais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Categoria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≤ 500 ms para 95% das requisições em condições normais de carga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via JWT; comunicação exclusivamente por HTTPS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de escrita devem ser rastreáveis via auditoria (entrega planejada na Sprint 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Compatibilidade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Stack obrigatória: .NET 5.0 (net5.0) e Dapper; SQL Server como SGBD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RNF-05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Manutenibilidade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mínima de 70% de testes unitários por módulo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Regras de Negócio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Regra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O nome do grupo deve ser único no banco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auxo3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tentativa de criação com nome duplicado retorna HTTP 400 com mensagem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 já existe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exclusão de grupo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pode notificar os membros do grupo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função atribuída a um usuário no grupo deve pertencer ao enum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FuncaoUsuariosEnum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Os registros de auditoria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AuditoriaGrupos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são imutáveis — não podem ser alterados ou excluídos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RN-05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 sincronização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deve ser acionada após alteração de vínculo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Critérios de Aceite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Aceite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Sucesso=true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MensagemPublica="Grupo incluído com sucesso"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; nome duplicado retorna HTTP 400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"Grupo já existe"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RF-02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listargrupo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lista paginada (HTTP 200);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 buscargrupoporid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os usuários do grupo (HTTP 200); parâmetro inválido retorna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RF-03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com os dados atualizados;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ativardesativar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o status (ativo 0/1) e retorna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RF-04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excluirgrupo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 HTTP 200 após a exclusão; notifica os membros quando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NotificarMembros = true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alterarfuncaodousuario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altera a função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Usuario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Administrador</w:t>
            </w:r>
            <w:r>
              <w:rPr>
                <w:rFonts w:ascii="Calibri" w:hAnsi="Calibri"/>
                <w:b w:val="0"/>
                <w:i w:val="0"/>
                <w:sz w:val="20"/>
              </w:rPr>
              <w:t>) do usuário e retorna HTTP 200; dados inválidos retornam HTTP 400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Vincular usuário (na lista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GrupoDeUsuarios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incluirgrupo</w:t>
            </w:r>
            <w:r>
              <w:rPr>
                <w:rFonts w:ascii="Calibri" w:hAnsi="Calibri"/>
                <w:b w:val="0"/>
                <w:i w:val="0"/>
                <w:sz w:val="20"/>
              </w:rPr>
              <w:t>/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alterargrupo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)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POST removerusuario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retornam HTTP 200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Toda operação de escrita gera registro de auditoria com usuário, timestamp e operação realizada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2)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alteração de vínculo,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ms.temis.vinculos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é chamado; falha gera log e não interrompe a operação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RF-09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/>
                <w:sz w:val="20"/>
              </w:rPr>
              <w:t>(Planejado — Sprint 3)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Relatório consolidado de grupos disponível para consulta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Referências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Levantamento inicial dos requisitos (kickoff)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Refinamento dos requisitos para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dos endpoints e regras à API real (GerenciarGruposController)</w:t>
            </w:r>
          </w:p>
        </w:tc>
      </w:tr>
      <w:tr>
        <w:tc>
          <w:tcPr>
            <w:tcW w:type="dxa" w:w="2225"/>
          </w:tcPr>
          <w:p>
            <w:r>
              <w:t>1.3</w:t>
            </w:r>
          </w:p>
        </w:tc>
        <w:tc>
          <w:tcPr>
            <w:tcW w:type="dxa" w:w="2225"/>
          </w:tcPr>
          <w:p>
            <w:r>
              <w:t>24/06/2026</w:t>
            </w:r>
          </w:p>
        </w:tc>
        <w:tc>
          <w:tcPr>
            <w:tcW w:type="dxa" w:w="2225"/>
          </w:tcPr>
          <w:p>
            <w:r>
              <w:t>Time de Melhoria Contínua</w:t>
            </w:r>
          </w:p>
        </w:tc>
        <w:tc>
          <w:tcPr>
            <w:tcW w:type="dxa" w:w="2225"/>
          </w:tcPr>
          <w:p>
            <w:r>
              <w:t>Reconciliação com o estado real do GitLab (produto/repositório ms.auxo.usuarios; framework net5.0 onde aplicável; entregas da Sprint 1 integradas em develop com baseline pela tag sprint-1-aceite).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REQ-AASP01-001</w:t>
    </w:r>
    <w:r>
      <w:tab/>
    </w:r>
    <w:r>
      <w:rPr>
        <w:rFonts w:ascii="Calibri" w:hAnsi="Calibri"/>
        <w:color w:val="555555"/>
        <w:sz w:val="18"/>
      </w:rPr>
      <w:t>Engenharia de Requisitos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