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E REVISÃO DO FLUXO DE CAPTURA (REFATORAÇÃO ANDAMENTOSPROCESSUAIS)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(acompanhamento — 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Esta ata consolida o alinhamento técnico do fluxo (07/04/2026) e a revisão do fluxo com o time ampliado (08/05/2026).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/ Infraestrutura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Sessão 1 — Alinhamento do fluxo da API CNJ (07/04/2026)</w:t>
      </w:r>
    </w:p>
    <w:p>
      <w:pPr>
        <w:pStyle w:val="Heading2"/>
        <w:keepNext/>
        <w:keepLines/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multi-fonte (DataJud/CNJ + EPROC/ESAJ + parceiras).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das responsabilidades de cada componente no novo modelo.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(Mateus Veloso), incorporado em Abr/2026.</w:t>
      </w:r>
    </w:p>
    <w:p>
      <w:pPr>
        <w:pStyle w:val="Heading2"/>
        <w:keepNext/>
        <w:keepLines/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Gerente de Projeto apresentou o fluxo completo da refatoração: migração do </w:t>
      </w:r>
      <w:r>
        <w:rPr>
          <w:rFonts w:ascii="Courier New" w:hAnsi="Courier New"/>
          <w:b w:val="0"/>
          <w:i w:val="0"/>
          <w:color w:val="333333"/>
          <w:sz w:val="20"/>
        </w:rPr>
        <w:t>CapturaServer</w:t>
      </w:r>
      <w:r>
        <w:rPr>
          <w:rFonts w:ascii="Calibri" w:hAnsi="Calibri"/>
          <w:b w:val="0"/>
          <w:i w:val="0"/>
          <w:sz w:val="22"/>
        </w:rPr>
        <w:t xml:space="preserve"> para a fila unificada </w:t>
      </w:r>
      <w:r>
        <w:rPr>
          <w:rFonts w:ascii="Courier New" w:hAnsi="Courier New"/>
          <w:b w:val="0"/>
          <w:i w:val="0"/>
          <w:color w:val="333333"/>
          <w:sz w:val="20"/>
        </w:rPr>
        <w:t>WorkerAndamentos</w:t>
      </w:r>
      <w:r>
        <w:rPr>
          <w:rFonts w:ascii="Calibri" w:hAnsi="Calibri"/>
          <w:b w:val="0"/>
          <w:i w:val="0"/>
          <w:sz w:val="22"/>
        </w:rPr>
        <w:t xml:space="preserve">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webhook de indexação parametrizado para múltiplas fontes, histórico de movimentações por inativação de registro, e verificação/desligamento nas APIs parceiras (Solucionário, Botmax) na camada da API após a captura via CNJ.</w:t>
      </w:r>
    </w:p>
    <w:p>
      <w:pPr>
        <w:pStyle w:val="Heading2"/>
        <w:keepNext/>
        <w:keepLines/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Parametrizar o webhook para suporte multi-fonte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inativação de registro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Verificação/desligamento das parceiras na camada da API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GDE-AASPAP01-001.)</w:t>
      </w:r>
    </w:p>
    <w:p>
      <w:pPr>
        <w:pStyle w:val="Heading2"/>
        <w:keepNext/>
        <w:keepLines/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Refatorar o webhook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Implementar a lógica de movimentações por inativação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Sessão 2 — Revisão do fluxo e definição de atividades (08/05/2026)</w:t>
      </w:r>
    </w:p>
    <w:p>
      <w:pPr>
        <w:pStyle w:val="Heading2"/>
        <w:keepNext/>
        <w:keepLines/>
      </w:pPr>
      <w:r>
        <w:t>6.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Revisão completa do fluxo com o time ampliado.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Redistribuição de atividades entre os dois projetos correlatos (AASP_AndamentosProcessuais e AASP_CNJ).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Planejamento da continuidade do time durante o período de férias do GP (06–08/05/2026).</w:t>
      </w:r>
    </w:p>
    <w:p>
      <w:pPr>
        <w:pStyle w:val="Heading2"/>
        <w:keepNext/>
        <w:keepLines/>
      </w:pPr>
      <w:r>
        <w:t>7.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Revisado o andamento das Fases 3–4: webhook multi-fonte e movimentações entregues; foco no tratamento de erros por instância (campo Observacao), no controle de segredo de justiça por instância (campo Segredo, decisão D07) e na atualização do CodigoFonteAPI. Esse escopo adicional foi formalizado no CR-AASPAP01-001. Acordada a continuidade autônoma do time durante a ausência do gestor.</w:t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  <w:keepNext/>
        <w:keepLines/>
      </w:pPr>
      <w:r>
        <w:t>8.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—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08/05/2026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Formalizar o escopo adicional da Fase 4 (CR-AASPAP01-001)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Redistribuir atividades entre AASP_AndamentosProcessuais e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08/05/2026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9.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Conclusão da Fase 4 (tratamento de erros, segredo e validação E2E + regressão EPROC) e preparação da Fase 5 (montagem do pacote GMUD e deploy em produção).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consolidando o alinhamento de 07/04/2026 e a revisão de 08/05/2026, reconstituída a partir da Planilha de Gestão GEST-AASPAP01 e do Registro de Projeto REG-AASPAP01-001.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ATA-AASPAP01-001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