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CHANGE REQUEST — ESCOPO ADICIONAL DO CICLO DE REFATORAÇÃO (HOMOLOGAÇÃO EPROC/ESAJ E TRATAMENTO DE ERROS/SEGREDO)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CR-AASPAP01-001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CR-AASPAP01-001 (consolida CR-AASPAP01-001 e CR-AASPAP01-002)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(controle de mudanças — evidência de projeto)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documento consolida as duas solicitações de mudança formalizadas no projeto, ambas aprovadas pelo representante/patrocinador do cliente, Marcos Correa Fernandez Turnes.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CR-AASPAP01-001 — Escopo adicional de homologação EPROC/ESAJ e devolutiva aos associados</w:t>
      </w:r>
    </w:p>
    <w:p>
      <w:pPr>
        <w:pStyle w:val="Heading2"/>
        <w:keepNext/>
        <w:keepLines/>
      </w:pPr>
      <w:r>
        <w:t>1. Descrição da mudança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Incluir um escopo adicional de homologação da captura EPROC/ESAJ por amostragem e a devolutiva aos associados da AASP sobre o resultado da solução em produção, além do previsto na linha de base original.</w:t>
      </w:r>
    </w:p>
    <w:p>
      <w:pPr>
        <w:pStyle w:val="Heading2"/>
        <w:keepNext/>
        <w:keepLines/>
      </w:pPr>
      <w:r>
        <w:t>2. Justificativa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Garantir a validação dos critérios de aceite em ambiente compartilhado (sem Elasticsearch dedicado) e dar retorno formal aos associados sobre a operação da solução EPROC/ESAJ, fortalecendo a confiança na transição e antecipando a detecção de problemas.</w:t>
      </w:r>
    </w:p>
    <w:p>
      <w:pPr>
        <w:pStyle w:val="Heading2"/>
        <w:keepNext/>
        <w:keepLines/>
      </w:pPr>
      <w:r>
        <w:t>3. Análise de impacto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Ampliação acordada — homologação por amostragem + devolutiva aos associados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Prazo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+~42 h, absorvidas na Fase 2 — sem impacto no prazo final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/ custo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Neutro — esforço absorvido pelo time, sem custo extra ao cliente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 — atividade de validação reduz o risco de regressão (R-01)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 Tipo de tratamento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[x] </w:t>
      </w:r>
      <w:r>
        <w:rPr>
          <w:rFonts w:ascii="Calibri" w:hAnsi="Calibri"/>
          <w:b/>
          <w:i w:val="0"/>
          <w:sz w:val="22"/>
        </w:rPr>
        <w:t>Aditivo de escopo absorvido</w:t>
      </w:r>
      <w:r>
        <w:rPr>
          <w:rFonts w:ascii="Calibri" w:hAnsi="Calibri"/>
          <w:b w:val="0"/>
          <w:i w:val="0"/>
          <w:sz w:val="22"/>
        </w:rPr>
        <w:t xml:space="preserve"> — esforço adicional sem custo extra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Troca de prioridade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Crédito</w:t>
      </w:r>
    </w:p>
    <w:p>
      <w:pPr>
        <w:pStyle w:val="Heading2"/>
        <w:keepNext/>
        <w:keepLines/>
      </w:pPr>
      <w:r>
        <w:t>5.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(cliente/PO)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GEST-AASPAP01 (aba Change Requests); REG-AASPAP01-001 §3.5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CR-AASPAP01-002 — Escopo adicional da Fase 4 (Observacao, Segredo, CodigoFonteAPI e tratamentos de erro)</w:t>
      </w:r>
    </w:p>
    <w:p>
      <w:pPr>
        <w:pStyle w:val="Heading2"/>
        <w:keepNext/>
        <w:keepLines/>
      </w:pPr>
      <w:r>
        <w:t>1. Descrição da mudança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Incluir, na Fase 4, o tratamento de erros por instância via campo </w:t>
      </w:r>
      <w:r>
        <w:rPr>
          <w:rFonts w:ascii="Courier New" w:hAnsi="Courier New"/>
          <w:b w:val="0"/>
          <w:i w:val="0"/>
          <w:color w:val="333333"/>
          <w:sz w:val="20"/>
        </w:rPr>
        <w:t>Observacao</w:t>
      </w:r>
      <w:r>
        <w:rPr>
          <w:rFonts w:ascii="Calibri" w:hAnsi="Calibri"/>
          <w:b w:val="0"/>
          <w:i w:val="0"/>
          <w:sz w:val="22"/>
        </w:rPr>
        <w:t xml:space="preserve"> (</w:t>
      </w:r>
      <w:r>
        <w:rPr>
          <w:rFonts w:ascii="Courier New" w:hAnsi="Courier New"/>
          <w:b w:val="0"/>
          <w:i w:val="0"/>
          <w:color w:val="333333"/>
          <w:sz w:val="20"/>
        </w:rPr>
        <w:t>ProcessoCapturaLogin</w:t>
      </w:r>
      <w:r>
        <w:rPr>
          <w:rFonts w:ascii="Calibri" w:hAnsi="Calibri"/>
          <w:b w:val="0"/>
          <w:i w:val="0"/>
          <w:sz w:val="22"/>
        </w:rPr>
        <w:t xml:space="preserve">), o controle de segredo de justiça por instância via campo 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 xml:space="preserve">, e a atualização do campo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em múltiplas rotinas — com os tratamentos de erro parcial, NUP inválido e priorização correlatos.</w:t>
      </w:r>
    </w:p>
    <w:p>
      <w:pPr>
        <w:pStyle w:val="Heading2"/>
        <w:keepNext/>
        <w:keepLines/>
      </w:pPr>
      <w:r>
        <w:t>2. Justificativa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operação real exigiu granularidade por instância: um processo pode estar em segredo (ou falhar) em uma instância e não em outra, e a fonte efetiva de captura precisa ser registrada por processo. Esses requisitos (RF07–RF12) não estavam dimensionados na linha de base original e foram acordados com o cliente.</w:t>
      </w:r>
    </w:p>
    <w:p>
      <w:pPr>
        <w:pStyle w:val="Heading2"/>
        <w:keepNext/>
        <w:keepLines/>
      </w:pPr>
      <w:r>
        <w:t>3. Análise de impacto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Ampliação acordada — RF07 a RF12 (erros por instância, segredo,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desmembramento do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RunUpdater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Prazo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+~8 h; atraso de ~30 dias vs. prazo original da Fase 4, absorvido — deadline final mantido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/ custo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Neutro — esforço adicional absorvido pelo time, sem custo extra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Tratado — comportamento inconsistente das parceiras (R-02) e perda transitória no webhook (R-05) endereçados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 Tipo de tratamento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[x] </w:t>
      </w:r>
      <w:r>
        <w:rPr>
          <w:rFonts w:ascii="Calibri" w:hAnsi="Calibri"/>
          <w:b/>
          <w:i w:val="0"/>
          <w:sz w:val="22"/>
        </w:rPr>
        <w:t>Aditivo de escopo absorvido</w:t>
      </w:r>
      <w:r>
        <w:rPr>
          <w:rFonts w:ascii="Calibri" w:hAnsi="Calibri"/>
          <w:b w:val="0"/>
          <w:i w:val="0"/>
          <w:sz w:val="22"/>
        </w:rPr>
        <w:t xml:space="preserve"> — esforço adicional sem custo extra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Troca de prioridade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Crédito</w:t>
      </w:r>
    </w:p>
    <w:p>
      <w:pPr>
        <w:pStyle w:val="Heading2"/>
        <w:keepNext/>
        <w:keepLines/>
      </w:pPr>
      <w:r>
        <w:t>5.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(cliente/PO)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GEST-AASPAP01 (aba Change Requests); REG-AASPAP01-001 §3.5; GDE-AASPAP01-001 (D07)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Impacto consolidado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Prazo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~30 dias na Fase 4 absorvido; encerramento previsto (Jun/2026) mantido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Neutro — esforço adicional absorvido pelo time, sem custo extra ao cliente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Ampliação acordada com o cliente em ambos os casos; ambos os CRs aprovados formalmente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Reflexo no projeto: as mudanças estão refletidas no cronograma e no acompanhamento por fase (GEST-AASPAP01, aba Acompanhamento) e na matriz de rastreabilidade (RASTR-AASPAP01-001).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Change requests CR-AASPAP01-001 e CR-AASPAP01-002 consolidados a partir da Planilha de Gestão GEST-AASPAP01 (aba Change Requests).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CR-AASPAP01-001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