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Windows que identifica processos pendentes e os publica na fila unificada WorkerAndamentos (RabbitMQ)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REST que recebe os dados via webhook multi-fonte, serializa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indexa no Elasticsearch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Workers (projeto irmão AASP_CNJ) que consomem a fila, consultam as fontes (CNJ / EPROC/ESAJ) e enviam os resultados ao webhook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Tipo/contrato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Enfileiramento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↔ RabbitMQ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Mensagem com NUP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SegmentoTribunal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(fila unificada WorkerAndamentos)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API DataJud/CNJ e portais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Consulta às fontes, roteada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parceiras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 ↔ APIs Solucionário/Botmax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REST, controladores específicos por parceira (verificação e exclusão de NUP)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Gravação / indexação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API AndamentosProcessuais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Webhook multi-fonte → serialização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indexação no Elasticsearch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Persistência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 ↔ SQL Server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das tabelas de controle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foi entregue de forma incremental, alinhada às fases do projeto: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Webhook EPROC/ESAJ e fila RabbitMQ (Fases 1–2):</w:t>
      </w:r>
      <w:r>
        <w:rPr>
          <w:rFonts w:ascii="Calibri" w:hAnsi="Calibri"/>
          <w:b w:val="0"/>
          <w:i w:val="0"/>
          <w:sz w:val="22"/>
        </w:rPr>
        <w:t xml:space="preserve"> criação do webhook de indexação para o TJSP e migração do CapturaServer para a fila unificada WorkerAndamentos com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Webhook multi-fonte e movimentações (Fase 3):</w:t>
      </w:r>
      <w:r>
        <w:rPr>
          <w:rFonts w:ascii="Calibri" w:hAnsi="Calibri"/>
          <w:b w:val="0"/>
          <w:i w:val="0"/>
          <w:sz w:val="22"/>
        </w:rPr>
        <w:t xml:space="preserve"> parametrização do webhook para qualquer fonte (incl. DataJud/CNJ), histórico de movimentações por instância e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Desligamento das parceiras (Fase 3) e tratamento de erros/segredo (Fase 4):</w:t>
      </w:r>
      <w:r>
        <w:rPr>
          <w:rFonts w:ascii="Calibri" w:hAnsi="Calibri"/>
          <w:b w:val="0"/>
          <w:i w:val="0"/>
          <w:sz w:val="22"/>
        </w:rPr>
        <w:t xml:space="preserve"> verificação e desligamento do NUP nas APIs parceiras após captura via CNJ, e tratamento de erros e segredo de justiça por instância.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Em retorno vazio/aguardando ou em falha transitória no envio ao webhook, o worker aplica retry (RNF04) antes de registrar o erro nas tabelas de controle.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Azure DevOps (controle de versão e pipeline; repositório </w:t>
      </w:r>
      <w:r>
        <w:rPr>
          <w:rFonts w:ascii="Courier New" w:hAnsi="Courier New"/>
          <w:b w:val="0"/>
          <w:i w:val="0"/>
          <w:color w:val="333333"/>
          <w:sz w:val="20"/>
        </w:rPr>
        <w:t>andamentosProcessuais</w:t>
      </w:r>
      <w:r>
        <w:rPr>
          <w:rFonts w:ascii="Calibri" w:hAnsi="Calibri"/>
          <w:b w:val="0"/>
          <w:i w:val="0"/>
          <w:sz w:val="22"/>
        </w:rPr>
        <w:t>/AndamentosProcessuais); desenvolvimento local em .NET + SQL Server; homologação por amostragem em ambiente compartilhado com o projeto AASP_CNJ (sem Elasticsearch dedicado); produção na AASP com SQL Server, Elasticsearch e RabbitMQ. Ver GCO-AASPAP01-001.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Code review aprovado (mínimo 1 revisor além do autor) antes do merge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>, conforme GitFlow.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Testes de fluxo executados para o cenário integrado e testes de regressão por amostragem antes de cada merge na Fase 4.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Tratamento de erro por instância implementado e registrado nas tabelas de controle.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fluxo integrado (CapturaServer → RabbitMQ → WorkerAndamentos → webhook → Elasticsearch) foi validado por testes de integração, E2E e de regressão, cobrindo cenários de sucesso, erro parcial por instância, NUP inválido, segredo de justiça e não-regressão do fluxo EPROC/ESAJ (CT-01 a CT-12, 100% aprovados). O mecanismo de retry no envio ao webhook foi implementado na Fase 4 para aumentar a resiliência. Detalhes na aba V&amp;V — Testes da GEST-AASPAP01.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entrega em produção segue o rito de GMUD: montagem de pacote de publicação e scripts DDL versionados no Azure DevOps, validação em homologação e agendamento com a Infraestrutura. Tags de baseline: v220 (legado / ponto de partida), v230 (Fases 1–2), v240/v241 (Fases 3–4). Escopo adicional formalizado em CR-AASPAP01-001 (homologação EPROC/ESAJ) (campos Observacao/Segredo/CodigoFonteAPI e tratamentos de erro).</w:t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consolidada a partir do Registro de Projeto AASP_AndamentosProcessuais, do GEST-AASPAP01 e do GCO-AASPAP01-001.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ITP-AASPAP01-001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