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Junho/2026 — Fase 5 (Implantação)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 — AASP); Patrocinador interno (Timeware)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Desenvolvimento concluído (Fases 1–4); o projeto está em implantação em produção (Fase 5), com encerramento previsto para 30/06/2026.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Fase 4 por escopo adicional acordado (CR-AASPAP01-001)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de homologação EPROC/ESAJ (CR-001) e de tratamento de erros/segredo na Fase 4 (CR-002), ambos acordados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inconsistente das parceiras (R-02) e falhas transitórias do webhook (R-05) tratados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defeitos identificados e 100% contidos antes da implantação; 0 defeitos escapados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refatoração para o modelo multi-fonte está concluída e validada: fila unificada WorkerAndamentos, webhook de indexação multi-fonte, histórico de movimentações por instância, verificação e desligamento nas APIs parceiras após captura via CNJ e controle de erros e segredo por instância. Os 12 cenários de teste (CT-01 a CT-12) foram 100% aprovados, incluindo a regressão do fluxo EPROC/ESAJ em produção. No período corrente, o foco é a montagem dos pacotes de GMUD e o deploy em produção.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Indicadores do período (destaque):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total realizado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~362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(meta ≤ 20%)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 de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contidos antes da implantação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(100% contidos)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unificada WorkerAndamentos (independente do tribunal)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preparado para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multi-fonte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a novas fontes sem alterar a serialização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(inativação)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preservado integralmente, sem sobrescrita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desligamento nas APIs parceiras pós-CNJ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duplo processamento na migração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erro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 e segredo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>)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correto sem omissões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produção (pacotes GMUD)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com 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 e ata de aceite total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Entregas no prazo (aderência ao cronograma)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~91%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(estimado × realizado)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(~362 h vs. ~348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escapados para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Conformidade GQA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(21/21 itens conformes)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Incorporação de Mateus Veloso (suporte ao desenvolvimento)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Reforço de equipe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 no webhook multi-fonte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técnico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inconsistente das parceiras nos endpoints de exclusão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Externo (parceiras)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por parceira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(R-02)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Fase 4 (Observacao, Segredo, CodigoFonteAPI)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c/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~30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(CR-002, BUG-02..05)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Atividades de finalização e implantação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Comportamento heterogêneo das APIs parceiras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as parceiras (Solucionário, Botmax) têm estruturas e endpoints de exclusão diferentes.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retorno inconsistente na verificação/desligamento do NUP.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controladores específicos por parceira com interface comum e registro do retorno (R-02, decisão D06).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segredo de justiça por instância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um processo pode estar em segredo em uma instância e não em outra.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tratamento incorreto se o segredo for controlado por processo.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 por instância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ProcessoCapturaLogin</w:t>
      </w:r>
      <w:r>
        <w:rPr>
          <w:rFonts w:ascii="Calibri" w:hAnsi="Calibri"/>
          <w:b w:val="0"/>
          <w:i w:val="0"/>
          <w:sz w:val="22"/>
        </w:rPr>
        <w:t xml:space="preserve"> (decisão D07).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de homologação EPROC/ESAJ e devolutiva aos associados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+~42 h (absorvido na Fase 2)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Fase 4: campos Observacao, Segredo, CodigoFonteAPI e tratamentos de erro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+~8 h · atraso ~30 dias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data de aceite formal total e do go-live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atividades de alinhamento registradas no ClickUp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+ devolutivas ao cliente por fase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(Fase 5) consolidado a partir do Registro de Projeto AASP_AndamentosProcessuais (REG-AASPAP01-001 v1.0, 08/06/2026) e da Planilha de Gestão GEST-AASPAP01.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