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CHANGE REQUEST — ESCOPO ADICIONAL DA FASE 4 (OBSERVACAO, SEGREDO, CODIGOFONTEAPI E TRATAMENTOS DE ERRO)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CR-AASPAP01-002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CR-AASPAP01-002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(controle de mudanças — 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Incluir, na Fase 4, o tratamento de erros por instância via campo 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), o controle de segredo de justiça por instância (campo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), a atualização de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em múltiplas rotinas e o desmembramento do </w:t>
      </w:r>
      <w:r>
        <w:rPr>
          <w:rFonts w:ascii="Courier New" w:hAnsi="Courier New"/>
          <w:b w:val="0"/>
          <w:i w:val="0"/>
          <w:color w:val="333333"/>
          <w:sz w:val="20"/>
        </w:rPr>
        <w:t>RunUpdater</w:t>
      </w:r>
      <w:r>
        <w:rPr>
          <w:rFonts w:ascii="Calibri" w:hAnsi="Calibri"/>
          <w:b w:val="0"/>
          <w:i w:val="0"/>
          <w:sz w:val="22"/>
        </w:rPr>
        <w:t xml:space="preserve"> para priorização de retorno.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operação real exigiu granularidade por instância: um processo pode estar em segredo (ou falhar) em uma instância e não em outra, exigindo controle e registro de erro por instância.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acordada — RF07 a RF12 (erros por instância, segredo, CodigoFonteAPI, desmembramento do RunUpdater)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+~8 h; atraso de ~30 dias vs. prazo original da Fase 4, absorvido — deadline final mantido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esforço adicional absorvido pelo time, sem custo extra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Tratado — comportamento inconsistente das parceiras (R-02) e perda transitória no webhook (R-05) endereçados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Tipo de tratamento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Aditivo de escopo absorvido — esforço adicional sem custo extra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Troca de prioridade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Crédito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(cliente/PO)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GEST-AASPAP01 (aba Change Requests); REG-AASPAP01-001 §3.5; GDE-AASPAP01-001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CR-AASPAP01-002 (escopo adicional da Fase 4), a partir da Planilha de Gestão GEST-AASPAP01 (aba Change Requests).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CR-AASPAP01-002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