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(Plano de V&amp;V)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execução dos testes do projeto e os defeitos identificados e tratados, em complemento ao Plano de V&amp;V (VV-AASPAP01-001).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Ciclos e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Ciclo / 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1–2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EPROC / RabbitMQ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 desempenho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Recebimento, serialização e indexação no Elasticsearch; publicação na fila WorkerAndamentos; homologação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Jan–Mar/2026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/ Movimentações /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 persistência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CNJ; inativação/criação de registro; DataUltimaAtualizacao; desligamento nas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/ Segredo / E2E / 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(E2E), 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parcial; NUP inválido; segredo por instância; fluxo E2E; regressão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cenários CT-01 a CT-12 (ver VV-AASPAP01-001 §6) foram executados ao longo destes ciclos, com </w:t>
      </w:r>
      <w:r>
        <w:rPr>
          <w:rFonts w:ascii="Calibri" w:hAnsi="Calibri"/>
          <w:b/>
          <w:i w:val="0"/>
          <w:sz w:val="22"/>
        </w:rPr>
        <w:t>100% de aprovação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identificado na Fase 3 (webhook multi-fonte /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BUG-02 a BUG-05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identificados na Fase 4 (validação)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merge, Observacao, ordem do desligamento e CodigoFonteAPI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 5 defeitos identificados e 100% resolvidos (100% contidos antes da implantação; 0 defeitos escapados para produção (validação em homologação)).</w:t>
      </w: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cenários de teste (CT-01 a CT-12)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foi conduzida por amostragem (repetição do mesmo processo na fila, em ambiente compartilhado com AASP_CNJ, sem impacto no índice de produção). Cenários conforme VV-AASPAP01-001 §6 e GEST-AASPAP01.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EPROC enviados ao webhook → serializa e indexa no Elasticsearch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publica na fila WorkerAndamentos com SegmentoTribunal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de captura e indexação EPROC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da API CNJ ao webhook → indexação multi-fonte sem campos fixos do TJSP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com registro ativo → inativação do anterior e criação de novo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sem novas movimentações → DataUltimaAtualizacao atualizado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capturado via CNJ e cadastrado em parceira → desligamento na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E2E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multi-instância via CNJ → captura com sucesso em todas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uma instância → ProcessoCaptura status 3 e só a instância marcada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 retorna NUP inválido → Status=8 e Resposta=10 em todas as instâncias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Uma instância em segredo e outra não → campo Segredo atualizado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Refatorações aplicadas → fluxo EPROC/ESAJ em produção não impactado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cobriram os fluxos de captura e indexação multi-fonte (EPROC/ESAJ e CNJ), publicação na fila unificada, histórico de movimentações por instância, desligamento nas APIs parceiras, tratamento de erro e segredo por instância, além da regressão do fluxo EPROC em produção (CT-12). Todos os 12 cenários de teste foram aprovados e os 5 defeitos identificados foram tratados antes da implantação. A ausência de ambiente de Elasticsearch dedicado e a baixa cobertura de testes automatizados/CI são as principais limitações da estratégia de teste (registradas em lições aprendidas).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andamentos_retry_webhook.jpeg</w:t>
      </w:r>
      <w:r>
        <w:rPr>
          <w:rFonts w:ascii="Calibri" w:hAnsi="Calibri"/>
          <w:b w:val="0"/>
          <w:i w:val="0"/>
          <w:sz w:val="22"/>
        </w:rPr>
        <w:t xml:space="preserve"> — Retry no envio do webhook (RNF04)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Retry no envio do webhook (RNF04)</w:t>
      </w:r>
    </w:p>
    <w:p>
      <w:r>
        <w:drawing>
          <wp:inline xmlns:a="http://schemas.openxmlformats.org/drawingml/2006/main" xmlns:pic="http://schemas.openxmlformats.org/drawingml/2006/picture">
            <wp:extent cx="5400000" cy="614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retry_webhook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4599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REL-VV-AASPAP01-001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